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B3" w:rsidRPr="004359B3" w:rsidRDefault="004359B3" w:rsidP="004359B3">
      <w:pPr>
        <w:rPr>
          <w:rFonts w:ascii="Times New Roman" w:hAnsi="Times New Roman" w:cs="Times New Roman"/>
          <w:b/>
          <w:sz w:val="32"/>
        </w:rPr>
      </w:pPr>
      <w:r w:rsidRPr="004359B3">
        <w:rPr>
          <w:rFonts w:ascii="Times New Roman" w:hAnsi="Times New Roman" w:cs="Times New Roman"/>
          <w:b/>
          <w:sz w:val="32"/>
        </w:rPr>
        <w:t>Establishment of a PML-</w:t>
      </w:r>
      <w:proofErr w:type="spellStart"/>
      <w:r w:rsidRPr="004359B3">
        <w:rPr>
          <w:rFonts w:ascii="Times New Roman" w:hAnsi="Times New Roman" w:cs="Times New Roman"/>
          <w:b/>
          <w:sz w:val="32"/>
        </w:rPr>
        <w:t>RARa</w:t>
      </w:r>
      <w:proofErr w:type="spellEnd"/>
      <w:r w:rsidRPr="004359B3">
        <w:rPr>
          <w:rFonts w:ascii="Times New Roman" w:hAnsi="Times New Roman" w:cs="Times New Roman"/>
          <w:b/>
          <w:sz w:val="32"/>
        </w:rPr>
        <w:t xml:space="preserve"> </w:t>
      </w:r>
      <w:r w:rsidRPr="004359B3">
        <w:rPr>
          <w:rFonts w:ascii="Times New Roman" w:hAnsi="Times New Roman" w:cs="Times New Roman"/>
          <w:b/>
          <w:sz w:val="32"/>
        </w:rPr>
        <w:t xml:space="preserve">copy number estimator </w:t>
      </w:r>
      <w:r w:rsidRPr="004359B3">
        <w:rPr>
          <w:rFonts w:ascii="Times New Roman" w:hAnsi="Times New Roman" w:cs="Times New Roman"/>
          <w:b/>
          <w:sz w:val="32"/>
        </w:rPr>
        <w:t xml:space="preserve">for </w:t>
      </w:r>
      <w:r w:rsidRPr="004359B3">
        <w:rPr>
          <w:rFonts w:ascii="Times New Roman" w:hAnsi="Times New Roman" w:cs="Times New Roman"/>
          <w:b/>
          <w:sz w:val="32"/>
        </w:rPr>
        <w:t xml:space="preserve">prototype </w:t>
      </w:r>
      <w:proofErr w:type="spellStart"/>
      <w:r w:rsidRPr="004359B3">
        <w:rPr>
          <w:rFonts w:ascii="Times New Roman" w:hAnsi="Times New Roman" w:cs="Times New Roman"/>
          <w:b/>
          <w:sz w:val="32"/>
        </w:rPr>
        <w:t>Xpert</w:t>
      </w:r>
      <w:proofErr w:type="spellEnd"/>
      <w:r w:rsidRPr="004359B3">
        <w:rPr>
          <w:rFonts w:ascii="Times New Roman" w:hAnsi="Times New Roman" w:cs="Times New Roman"/>
          <w:b/>
          <w:sz w:val="32"/>
        </w:rPr>
        <w:t>® PML-</w:t>
      </w:r>
      <w:proofErr w:type="spellStart"/>
      <w:r w:rsidRPr="004359B3">
        <w:rPr>
          <w:rFonts w:ascii="Times New Roman" w:hAnsi="Times New Roman" w:cs="Times New Roman"/>
          <w:b/>
          <w:sz w:val="32"/>
        </w:rPr>
        <w:t>RARa</w:t>
      </w:r>
      <w:proofErr w:type="spellEnd"/>
      <w:r w:rsidRPr="004359B3">
        <w:rPr>
          <w:rFonts w:ascii="Times New Roman" w:hAnsi="Times New Roman" w:cs="Times New Roman"/>
          <w:b/>
          <w:sz w:val="32"/>
        </w:rPr>
        <w:t xml:space="preserve"> </w:t>
      </w:r>
      <w:r w:rsidRPr="004359B3">
        <w:rPr>
          <w:rFonts w:ascii="Times New Roman" w:hAnsi="Times New Roman" w:cs="Times New Roman"/>
          <w:b/>
          <w:sz w:val="32"/>
        </w:rPr>
        <w:t>assay</w:t>
      </w:r>
    </w:p>
    <w:p w:rsidR="004359B3" w:rsidRPr="004359B3" w:rsidRDefault="004359B3" w:rsidP="004359B3">
      <w:pPr>
        <w:rPr>
          <w:rFonts w:ascii="Times New Roman" w:hAnsi="Times New Roman" w:cs="Times New Roman"/>
          <w:sz w:val="24"/>
        </w:rPr>
      </w:pPr>
      <w:proofErr w:type="spellStart"/>
      <w:r w:rsidRPr="004359B3">
        <w:rPr>
          <w:rFonts w:ascii="Times New Roman" w:hAnsi="Times New Roman" w:cs="Times New Roman"/>
          <w:sz w:val="24"/>
        </w:rPr>
        <w:t>Mengying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4359B3">
        <w:rPr>
          <w:rFonts w:ascii="Times New Roman" w:hAnsi="Times New Roman" w:cs="Times New Roman"/>
          <w:sz w:val="24"/>
        </w:rPr>
        <w:t>(Mona) Liu*, Yan</w:t>
      </w:r>
      <w:r>
        <w:rPr>
          <w:rFonts w:ascii="Times New Roman" w:hAnsi="Times New Roman" w:cs="Times New Roman"/>
          <w:sz w:val="24"/>
        </w:rPr>
        <w:t xml:space="preserve"> </w:t>
      </w:r>
      <w:r w:rsidRPr="004359B3">
        <w:rPr>
          <w:rFonts w:ascii="Times New Roman" w:hAnsi="Times New Roman" w:cs="Times New Roman"/>
          <w:sz w:val="24"/>
        </w:rPr>
        <w:t xml:space="preserve">(Amber) Zhao, </w:t>
      </w:r>
      <w:proofErr w:type="spellStart"/>
      <w:r w:rsidRPr="004359B3">
        <w:rPr>
          <w:rFonts w:ascii="Times New Roman" w:hAnsi="Times New Roman" w:cs="Times New Roman"/>
          <w:sz w:val="24"/>
        </w:rPr>
        <w:t>Yuanyuan</w:t>
      </w:r>
      <w:proofErr w:type="spellEnd"/>
      <w:r w:rsidRPr="004359B3">
        <w:rPr>
          <w:rFonts w:ascii="Times New Roman" w:hAnsi="Times New Roman" w:cs="Times New Roman"/>
          <w:sz w:val="24"/>
        </w:rPr>
        <w:t xml:space="preserve"> Liu, </w:t>
      </w:r>
      <w:proofErr w:type="spellStart"/>
      <w:r w:rsidRPr="004359B3">
        <w:rPr>
          <w:rFonts w:ascii="Times New Roman" w:hAnsi="Times New Roman" w:cs="Times New Roman"/>
          <w:sz w:val="24"/>
        </w:rPr>
        <w:t>Huilin</w:t>
      </w:r>
      <w:proofErr w:type="spellEnd"/>
      <w:r w:rsidRPr="004359B3">
        <w:rPr>
          <w:rFonts w:ascii="Times New Roman" w:hAnsi="Times New Roman" w:cs="Times New Roman"/>
          <w:sz w:val="24"/>
        </w:rPr>
        <w:t xml:space="preserve"> Wei, Jessica </w:t>
      </w:r>
      <w:proofErr w:type="spellStart"/>
      <w:r w:rsidRPr="004359B3">
        <w:rPr>
          <w:rFonts w:ascii="Times New Roman" w:hAnsi="Times New Roman" w:cs="Times New Roman"/>
          <w:sz w:val="24"/>
        </w:rPr>
        <w:t>Saini</w:t>
      </w:r>
      <w:proofErr w:type="spellEnd"/>
      <w:r w:rsidRPr="004359B3">
        <w:rPr>
          <w:rFonts w:ascii="Times New Roman" w:hAnsi="Times New Roman" w:cs="Times New Roman"/>
          <w:sz w:val="24"/>
        </w:rPr>
        <w:t xml:space="preserve">, Dylan Goldman, Shawn </w:t>
      </w:r>
      <w:proofErr w:type="spellStart"/>
      <w:r w:rsidRPr="004359B3">
        <w:rPr>
          <w:rFonts w:ascii="Times New Roman" w:hAnsi="Times New Roman" w:cs="Times New Roman"/>
          <w:sz w:val="24"/>
        </w:rPr>
        <w:t>Kayhan</w:t>
      </w:r>
      <w:proofErr w:type="spellEnd"/>
      <w:r w:rsidRPr="004359B3">
        <w:rPr>
          <w:rFonts w:ascii="Times New Roman" w:hAnsi="Times New Roman" w:cs="Times New Roman"/>
          <w:sz w:val="24"/>
        </w:rPr>
        <w:t xml:space="preserve">, Tran </w:t>
      </w:r>
      <w:proofErr w:type="spellStart"/>
      <w:r w:rsidRPr="004359B3">
        <w:rPr>
          <w:rFonts w:ascii="Times New Roman" w:hAnsi="Times New Roman" w:cs="Times New Roman"/>
          <w:sz w:val="24"/>
        </w:rPr>
        <w:t>Tran</w:t>
      </w:r>
      <w:proofErr w:type="spellEnd"/>
      <w:r w:rsidRPr="004359B3">
        <w:rPr>
          <w:rFonts w:ascii="Times New Roman" w:hAnsi="Times New Roman" w:cs="Times New Roman"/>
          <w:sz w:val="24"/>
        </w:rPr>
        <w:t>, Lin Yuan</w:t>
      </w:r>
      <w:r w:rsidRPr="004359B3">
        <w:rPr>
          <w:rFonts w:ascii="Times New Roman" w:hAnsi="Times New Roman" w:cs="Times New Roman"/>
          <w:sz w:val="24"/>
        </w:rPr>
        <w:t xml:space="preserve"> and</w:t>
      </w:r>
      <w:r w:rsidRPr="004359B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359B3">
        <w:rPr>
          <w:rFonts w:ascii="Times New Roman" w:hAnsi="Times New Roman" w:cs="Times New Roman"/>
          <w:sz w:val="24"/>
        </w:rPr>
        <w:t>Gwo</w:t>
      </w:r>
      <w:proofErr w:type="spellEnd"/>
      <w:r w:rsidRPr="004359B3">
        <w:rPr>
          <w:rFonts w:ascii="Times New Roman" w:hAnsi="Times New Roman" w:cs="Times New Roman"/>
          <w:sz w:val="24"/>
        </w:rPr>
        <w:t>-Jen Day</w:t>
      </w:r>
    </w:p>
    <w:p w:rsidR="004359B3" w:rsidRPr="004359B3" w:rsidRDefault="004359B3" w:rsidP="004359B3">
      <w:pPr>
        <w:rPr>
          <w:rFonts w:ascii="Times New Roman" w:hAnsi="Times New Roman" w:cs="Times New Roman"/>
        </w:rPr>
      </w:pPr>
      <w:r w:rsidRPr="004359B3">
        <w:rPr>
          <w:rFonts w:ascii="Times New Roman" w:hAnsi="Times New Roman" w:cs="Times New Roman"/>
        </w:rPr>
        <w:t>Cepheid, United States</w:t>
      </w:r>
    </w:p>
    <w:p w:rsidR="004359B3" w:rsidRPr="004359B3" w:rsidRDefault="004359B3" w:rsidP="004359B3">
      <w:pPr>
        <w:jc w:val="center"/>
        <w:rPr>
          <w:rFonts w:ascii="Times New Roman" w:hAnsi="Times New Roman" w:cs="Times New Roman"/>
          <w:b/>
          <w:sz w:val="24"/>
        </w:rPr>
      </w:pPr>
      <w:r w:rsidRPr="004359B3">
        <w:rPr>
          <w:rFonts w:ascii="Times New Roman" w:hAnsi="Times New Roman" w:cs="Times New Roman"/>
          <w:b/>
          <w:sz w:val="24"/>
        </w:rPr>
        <w:t>Abstract</w:t>
      </w:r>
    </w:p>
    <w:p w:rsidR="004359B3" w:rsidRPr="004359B3" w:rsidRDefault="004359B3" w:rsidP="004359B3">
      <w:pPr>
        <w:jc w:val="both"/>
        <w:rPr>
          <w:rFonts w:ascii="Times New Roman" w:hAnsi="Times New Roman" w:cs="Times New Roman"/>
          <w:sz w:val="20"/>
        </w:rPr>
      </w:pPr>
      <w:r w:rsidRPr="004359B3">
        <w:rPr>
          <w:rFonts w:ascii="Times New Roman" w:hAnsi="Times New Roman" w:cs="Times New Roman"/>
          <w:b/>
          <w:sz w:val="20"/>
        </w:rPr>
        <w:t xml:space="preserve">Statement of the </w:t>
      </w:r>
      <w:r w:rsidRPr="004359B3">
        <w:rPr>
          <w:rFonts w:ascii="Times New Roman" w:hAnsi="Times New Roman" w:cs="Times New Roman"/>
          <w:b/>
          <w:sz w:val="20"/>
        </w:rPr>
        <w:t>problem</w:t>
      </w:r>
      <w:r w:rsidRPr="004359B3">
        <w:rPr>
          <w:rFonts w:ascii="Times New Roman" w:hAnsi="Times New Roman" w:cs="Times New Roman"/>
          <w:b/>
          <w:sz w:val="20"/>
        </w:rPr>
        <w:t>:</w:t>
      </w:r>
      <w:r w:rsidRPr="004359B3">
        <w:rPr>
          <w:rFonts w:ascii="Times New Roman" w:hAnsi="Times New Roman" w:cs="Times New Roman"/>
          <w:sz w:val="20"/>
        </w:rPr>
        <w:t xml:space="preserve"> Acute </w:t>
      </w:r>
      <w:proofErr w:type="spellStart"/>
      <w:r w:rsidRPr="004359B3">
        <w:rPr>
          <w:rFonts w:ascii="Times New Roman" w:hAnsi="Times New Roman" w:cs="Times New Roman"/>
          <w:sz w:val="20"/>
        </w:rPr>
        <w:t>Promyelocytic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Leukemia (APL) represents 10-15% of Acute Myeloid Leukemia (AML). The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fusion transcript is expressed in more than 95% of APL patients. Three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isoforms (bcr1, bcr2</w:t>
      </w:r>
      <w:r w:rsidR="006856F8">
        <w:rPr>
          <w:rFonts w:ascii="Times New Roman" w:hAnsi="Times New Roman" w:cs="Times New Roman"/>
          <w:sz w:val="20"/>
        </w:rPr>
        <w:t xml:space="preserve"> and</w:t>
      </w:r>
      <w:r w:rsidRPr="004359B3">
        <w:rPr>
          <w:rFonts w:ascii="Times New Roman" w:hAnsi="Times New Roman" w:cs="Times New Roman"/>
          <w:sz w:val="20"/>
        </w:rPr>
        <w:t xml:space="preserve"> bcr3) are identified in 90-95% of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positive cases. Prototype </w:t>
      </w:r>
      <w:proofErr w:type="spellStart"/>
      <w:r w:rsidRPr="004359B3">
        <w:rPr>
          <w:rFonts w:ascii="Times New Roman" w:hAnsi="Times New Roman" w:cs="Times New Roman"/>
          <w:sz w:val="20"/>
        </w:rPr>
        <w:t>Xpert</w:t>
      </w:r>
      <w:proofErr w:type="spellEnd"/>
      <w:r w:rsidRPr="004359B3">
        <w:rPr>
          <w:rFonts w:ascii="Times New Roman" w:hAnsi="Times New Roman" w:cs="Times New Roman"/>
          <w:sz w:val="20"/>
        </w:rPr>
        <w:t>®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>, an automated cartridge-based assay for measuring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fusion transcript levels (bcr1, bcr2</w:t>
      </w:r>
      <w:r w:rsidR="006856F8">
        <w:rPr>
          <w:rFonts w:ascii="Times New Roman" w:hAnsi="Times New Roman" w:cs="Times New Roman"/>
          <w:sz w:val="20"/>
        </w:rPr>
        <w:t xml:space="preserve"> and</w:t>
      </w:r>
      <w:r w:rsidRPr="004359B3">
        <w:rPr>
          <w:rFonts w:ascii="Times New Roman" w:hAnsi="Times New Roman" w:cs="Times New Roman"/>
          <w:sz w:val="20"/>
        </w:rPr>
        <w:t xml:space="preserve"> bcr3), is standardized to quantify the amount of PML-RARA relative to ABL1 control gene based on delta Ct in peripheral blood. Since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level is crucial for diagnosis and ongoing therapeutic monitoring in APL, it can be useful to obtain the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</w:t>
      </w:r>
      <w:r w:rsidRPr="004359B3">
        <w:rPr>
          <w:rFonts w:ascii="Times New Roman" w:hAnsi="Times New Roman" w:cs="Times New Roman"/>
          <w:sz w:val="20"/>
        </w:rPr>
        <w:t xml:space="preserve">Copy Number </w:t>
      </w:r>
      <w:r w:rsidRPr="004359B3">
        <w:rPr>
          <w:rFonts w:ascii="Times New Roman" w:hAnsi="Times New Roman" w:cs="Times New Roman"/>
          <w:sz w:val="20"/>
        </w:rPr>
        <w:t>(CN). The aim of this work is to develop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CN estimator and to compare %PML-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/ABL1 reporting between delta Ct-based and CN-based methods. </w:t>
      </w:r>
    </w:p>
    <w:p w:rsidR="004359B3" w:rsidRDefault="004359B3" w:rsidP="004359B3">
      <w:pPr>
        <w:jc w:val="both"/>
        <w:rPr>
          <w:rFonts w:ascii="Times New Roman" w:hAnsi="Times New Roman" w:cs="Times New Roman"/>
          <w:sz w:val="20"/>
        </w:rPr>
      </w:pPr>
      <w:r w:rsidRPr="004359B3">
        <w:rPr>
          <w:rFonts w:ascii="Times New Roman" w:hAnsi="Times New Roman" w:cs="Times New Roman"/>
          <w:b/>
          <w:sz w:val="20"/>
        </w:rPr>
        <w:t xml:space="preserve">Methodology &amp; </w:t>
      </w:r>
      <w:r w:rsidRPr="004359B3">
        <w:rPr>
          <w:rFonts w:ascii="Times New Roman" w:hAnsi="Times New Roman" w:cs="Times New Roman"/>
          <w:b/>
          <w:sz w:val="20"/>
        </w:rPr>
        <w:t>theoretical orientation</w:t>
      </w:r>
      <w:r w:rsidRPr="004359B3">
        <w:rPr>
          <w:rFonts w:ascii="Times New Roman" w:hAnsi="Times New Roman" w:cs="Times New Roman"/>
          <w:b/>
          <w:sz w:val="20"/>
        </w:rPr>
        <w:t>:</w:t>
      </w:r>
      <w:r w:rsidRPr="004359B3">
        <w:rPr>
          <w:rFonts w:ascii="Times New Roman" w:hAnsi="Times New Roman" w:cs="Times New Roman"/>
          <w:sz w:val="20"/>
        </w:rPr>
        <w:t xml:space="preserve"> Four levels of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(bcr1, bcr2</w:t>
      </w:r>
      <w:r w:rsidR="006856F8">
        <w:rPr>
          <w:rFonts w:ascii="Times New Roman" w:hAnsi="Times New Roman" w:cs="Times New Roman"/>
          <w:sz w:val="20"/>
        </w:rPr>
        <w:t xml:space="preserve"> and</w:t>
      </w:r>
      <w:r w:rsidRPr="004359B3">
        <w:rPr>
          <w:rFonts w:ascii="Times New Roman" w:hAnsi="Times New Roman" w:cs="Times New Roman"/>
          <w:sz w:val="20"/>
        </w:rPr>
        <w:t xml:space="preserve"> bcr3) and ABL1 IVT-RNA panels as well as two lots of prototype </w:t>
      </w:r>
      <w:proofErr w:type="spellStart"/>
      <w:r w:rsidRPr="004359B3">
        <w:rPr>
          <w:rFonts w:ascii="Times New Roman" w:hAnsi="Times New Roman" w:cs="Times New Roman"/>
          <w:sz w:val="20"/>
        </w:rPr>
        <w:t>Xpert</w:t>
      </w:r>
      <w:proofErr w:type="spellEnd"/>
      <w:r w:rsidRPr="004359B3">
        <w:rPr>
          <w:rFonts w:ascii="Times New Roman" w:hAnsi="Times New Roman" w:cs="Times New Roman"/>
          <w:sz w:val="20"/>
        </w:rPr>
        <w:t>®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assay were used to generate standard curves for CN and %CN reporting. The samples with spiked-in bcr1 IVT-RNA and APL clinical samples containing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fusion transcript were examined to evaluate the CN and %CN between two lots of the prototype </w:t>
      </w:r>
      <w:proofErr w:type="spellStart"/>
      <w:r w:rsidRPr="004359B3">
        <w:rPr>
          <w:rFonts w:ascii="Times New Roman" w:hAnsi="Times New Roman" w:cs="Times New Roman"/>
          <w:sz w:val="20"/>
        </w:rPr>
        <w:t>Xpert</w:t>
      </w:r>
      <w:proofErr w:type="spellEnd"/>
      <w:r w:rsidRPr="004359B3">
        <w:rPr>
          <w:rFonts w:ascii="Times New Roman" w:hAnsi="Times New Roman" w:cs="Times New Roman"/>
          <w:sz w:val="20"/>
        </w:rPr>
        <w:t>®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assay and to compare the delta Ct-based and CN-based methods for reporting %PML-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/ABL1. Linearity was demonstrated in Ct </w:t>
      </w:r>
      <w:r w:rsidRPr="004359B3">
        <w:rPr>
          <w:rFonts w:ascii="Times New Roman" w:hAnsi="Times New Roman" w:cs="Times New Roman"/>
          <w:i/>
          <w:sz w:val="20"/>
        </w:rPr>
        <w:t>vs.</w:t>
      </w:r>
      <w:r w:rsidRPr="004359B3">
        <w:rPr>
          <w:rFonts w:ascii="Times New Roman" w:hAnsi="Times New Roman" w:cs="Times New Roman"/>
          <w:sz w:val="20"/>
        </w:rPr>
        <w:t xml:space="preserve"> CN input for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(R2&gt;0.98) and ABL1 (R2&gt;0.97). Less than 2-fold difference was exhibited for CN and %CN across two different lots. Less than 2-fold difference was observed in %PML-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>/ABL1 reporting between delta Ct-based and CN-based approaches</w:t>
      </w:r>
      <w:r w:rsidR="006856F8">
        <w:rPr>
          <w:rFonts w:ascii="Times New Roman" w:hAnsi="Times New Roman" w:cs="Times New Roman"/>
          <w:sz w:val="20"/>
        </w:rPr>
        <w:t xml:space="preserve"> [Figure 1</w:t>
      </w:r>
      <w:bookmarkStart w:id="0" w:name="_GoBack"/>
      <w:bookmarkEnd w:id="0"/>
      <w:r w:rsidR="006856F8">
        <w:rPr>
          <w:rFonts w:ascii="Times New Roman" w:hAnsi="Times New Roman" w:cs="Times New Roman"/>
          <w:sz w:val="20"/>
        </w:rPr>
        <w:t>]</w:t>
      </w:r>
      <w:r w:rsidRPr="004359B3">
        <w:rPr>
          <w:rFonts w:ascii="Times New Roman" w:hAnsi="Times New Roman" w:cs="Times New Roman"/>
          <w:sz w:val="20"/>
        </w:rPr>
        <w:t xml:space="preserve">. </w:t>
      </w:r>
    </w:p>
    <w:p w:rsidR="00FF2A3B" w:rsidRDefault="006856F8" w:rsidP="00FF2A3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06DF6C2D" wp14:editId="4445C02E">
            <wp:extent cx="5078946" cy="1041621"/>
            <wp:effectExtent l="0" t="0" r="7620" b="0"/>
            <wp:docPr id="74" name="Picture 74" descr="C:\Users\swetha-s\Downloads\SWETHA\April 2023\19-04-2023\Cancer Science 2023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wetha-s\Downloads\SWETHA\April 2023\19-04-2023\Cancer Science 2023\Fig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7205" cy="104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A3B" w:rsidRPr="006856F8" w:rsidRDefault="00FF2A3B" w:rsidP="0099650D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6856F8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6856F8">
        <w:rPr>
          <w:rFonts w:ascii="Times New Roman" w:hAnsi="Times New Roman" w:cs="Times New Roman"/>
          <w:i/>
          <w:sz w:val="18"/>
        </w:rPr>
        <w:t xml:space="preserve"> Two sets of PML-</w:t>
      </w:r>
      <w:proofErr w:type="spellStart"/>
      <w:r w:rsidRPr="006856F8">
        <w:rPr>
          <w:rFonts w:ascii="Times New Roman" w:hAnsi="Times New Roman" w:cs="Times New Roman"/>
          <w:i/>
          <w:sz w:val="18"/>
        </w:rPr>
        <w:t>RARa</w:t>
      </w:r>
      <w:proofErr w:type="spellEnd"/>
      <w:r w:rsidRPr="006856F8">
        <w:rPr>
          <w:rFonts w:ascii="Times New Roman" w:hAnsi="Times New Roman" w:cs="Times New Roman"/>
          <w:i/>
          <w:sz w:val="18"/>
        </w:rPr>
        <w:t xml:space="preserve"> copy number estimator for </w:t>
      </w:r>
      <w:proofErr w:type="spellStart"/>
      <w:r w:rsidRPr="006856F8">
        <w:rPr>
          <w:rFonts w:ascii="Times New Roman" w:hAnsi="Times New Roman" w:cs="Times New Roman"/>
          <w:i/>
          <w:sz w:val="18"/>
        </w:rPr>
        <w:t>protype</w:t>
      </w:r>
      <w:proofErr w:type="spellEnd"/>
      <w:r w:rsidRPr="006856F8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6856F8">
        <w:rPr>
          <w:rFonts w:ascii="Times New Roman" w:hAnsi="Times New Roman" w:cs="Times New Roman"/>
          <w:i/>
          <w:sz w:val="18"/>
        </w:rPr>
        <w:t>Xpert</w:t>
      </w:r>
      <w:proofErr w:type="spellEnd"/>
      <w:r w:rsidRPr="006856F8">
        <w:rPr>
          <w:rFonts w:ascii="Times New Roman" w:hAnsi="Times New Roman" w:cs="Times New Roman"/>
          <w:i/>
          <w:sz w:val="18"/>
        </w:rPr>
        <w:t>® PML-</w:t>
      </w:r>
      <w:proofErr w:type="spellStart"/>
      <w:r w:rsidRPr="006856F8">
        <w:rPr>
          <w:rFonts w:ascii="Times New Roman" w:hAnsi="Times New Roman" w:cs="Times New Roman"/>
          <w:i/>
          <w:sz w:val="18"/>
        </w:rPr>
        <w:t>RARa</w:t>
      </w:r>
      <w:proofErr w:type="spellEnd"/>
      <w:r w:rsidRPr="006856F8">
        <w:rPr>
          <w:rFonts w:ascii="Times New Roman" w:hAnsi="Times New Roman" w:cs="Times New Roman"/>
          <w:i/>
          <w:sz w:val="18"/>
        </w:rPr>
        <w:t xml:space="preserve"> assay, which will provide diagnostic and prognostic values for APL. Enter reported PML-</w:t>
      </w:r>
      <w:proofErr w:type="spellStart"/>
      <w:r w:rsidRPr="006856F8">
        <w:rPr>
          <w:rFonts w:ascii="Times New Roman" w:hAnsi="Times New Roman" w:cs="Times New Roman"/>
          <w:i/>
          <w:sz w:val="18"/>
        </w:rPr>
        <w:t>RARa</w:t>
      </w:r>
      <w:proofErr w:type="spellEnd"/>
      <w:r w:rsidRPr="006856F8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="0099650D" w:rsidRPr="006856F8">
        <w:rPr>
          <w:rFonts w:ascii="Times New Roman" w:hAnsi="Times New Roman" w:cs="Times New Roman"/>
          <w:i/>
          <w:sz w:val="18"/>
        </w:rPr>
        <w:t>uni</w:t>
      </w:r>
      <w:proofErr w:type="spellEnd"/>
      <w:r w:rsidR="0099650D" w:rsidRPr="006856F8">
        <w:rPr>
          <w:rFonts w:ascii="Times New Roman" w:hAnsi="Times New Roman" w:cs="Times New Roman"/>
          <w:i/>
          <w:sz w:val="18"/>
        </w:rPr>
        <w:t xml:space="preserve"> Ct and ABL1 Ct into the formulas (I) and (II) to calculate the copy number. Average copy number of PML-</w:t>
      </w:r>
      <w:proofErr w:type="spellStart"/>
      <w:r w:rsidR="0099650D" w:rsidRPr="006856F8">
        <w:rPr>
          <w:rFonts w:ascii="Times New Roman" w:hAnsi="Times New Roman" w:cs="Times New Roman"/>
          <w:i/>
          <w:sz w:val="18"/>
        </w:rPr>
        <w:t>RARa</w:t>
      </w:r>
      <w:proofErr w:type="spellEnd"/>
      <w:r w:rsidR="0099650D" w:rsidRPr="006856F8">
        <w:rPr>
          <w:rFonts w:ascii="Times New Roman" w:hAnsi="Times New Roman" w:cs="Times New Roman"/>
          <w:i/>
          <w:sz w:val="18"/>
        </w:rPr>
        <w:t xml:space="preserve"> and ABL1 from both formulas will be utilized in obtaining average and %PML-</w:t>
      </w:r>
      <w:proofErr w:type="spellStart"/>
      <w:r w:rsidR="0099650D" w:rsidRPr="006856F8">
        <w:rPr>
          <w:rFonts w:ascii="Times New Roman" w:hAnsi="Times New Roman" w:cs="Times New Roman"/>
          <w:i/>
          <w:sz w:val="18"/>
        </w:rPr>
        <w:t>RARa</w:t>
      </w:r>
      <w:proofErr w:type="spellEnd"/>
      <w:r w:rsidR="0099650D" w:rsidRPr="006856F8">
        <w:rPr>
          <w:rFonts w:ascii="Times New Roman" w:hAnsi="Times New Roman" w:cs="Times New Roman"/>
          <w:i/>
          <w:sz w:val="18"/>
        </w:rPr>
        <w:t>/ABL1.</w:t>
      </w:r>
      <w:r w:rsidRPr="006856F8">
        <w:rPr>
          <w:rFonts w:ascii="Times New Roman" w:hAnsi="Times New Roman" w:cs="Times New Roman"/>
          <w:i/>
          <w:sz w:val="18"/>
        </w:rPr>
        <w:t xml:space="preserve"> </w:t>
      </w:r>
    </w:p>
    <w:p w:rsidR="00474203" w:rsidRPr="004359B3" w:rsidRDefault="004359B3" w:rsidP="004359B3">
      <w:pPr>
        <w:jc w:val="both"/>
        <w:rPr>
          <w:rFonts w:ascii="Times New Roman" w:hAnsi="Times New Roman" w:cs="Times New Roman"/>
          <w:sz w:val="20"/>
        </w:rPr>
      </w:pPr>
      <w:r w:rsidRPr="004359B3">
        <w:rPr>
          <w:rFonts w:ascii="Times New Roman" w:hAnsi="Times New Roman" w:cs="Times New Roman"/>
          <w:b/>
          <w:sz w:val="20"/>
        </w:rPr>
        <w:t>Conclusion:</w:t>
      </w:r>
      <w:r w:rsidRPr="004359B3">
        <w:rPr>
          <w:rFonts w:ascii="Times New Roman" w:hAnsi="Times New Roman" w:cs="Times New Roman"/>
          <w:sz w:val="20"/>
        </w:rPr>
        <w:t xml:space="preserve"> A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copy number estimator for prototype </w:t>
      </w:r>
      <w:proofErr w:type="spellStart"/>
      <w:r w:rsidRPr="004359B3">
        <w:rPr>
          <w:rFonts w:ascii="Times New Roman" w:hAnsi="Times New Roman" w:cs="Times New Roman"/>
          <w:sz w:val="20"/>
        </w:rPr>
        <w:t>Xpert</w:t>
      </w:r>
      <w:proofErr w:type="spellEnd"/>
      <w:r w:rsidRPr="004359B3">
        <w:rPr>
          <w:rFonts w:ascii="Times New Roman" w:hAnsi="Times New Roman" w:cs="Times New Roman"/>
          <w:sz w:val="20"/>
        </w:rPr>
        <w:t>® PML-</w:t>
      </w:r>
      <w:proofErr w:type="spellStart"/>
      <w:r w:rsidRPr="004359B3">
        <w:rPr>
          <w:rFonts w:ascii="Times New Roman" w:hAnsi="Times New Roman" w:cs="Times New Roman"/>
          <w:sz w:val="20"/>
        </w:rPr>
        <w:t>RARa</w:t>
      </w:r>
      <w:proofErr w:type="spellEnd"/>
      <w:r w:rsidRPr="004359B3">
        <w:rPr>
          <w:rFonts w:ascii="Times New Roman" w:hAnsi="Times New Roman" w:cs="Times New Roman"/>
          <w:sz w:val="20"/>
        </w:rPr>
        <w:t xml:space="preserve"> assay was established, which will provide helpful information for diagnosis and prognosis of APL. </w:t>
      </w:r>
    </w:p>
    <w:p w:rsidR="004359B3" w:rsidRPr="004359B3" w:rsidRDefault="004359B3" w:rsidP="004359B3">
      <w:pPr>
        <w:rPr>
          <w:rFonts w:ascii="Times New Roman" w:hAnsi="Times New Roman" w:cs="Times New Roman"/>
          <w:b/>
          <w:sz w:val="24"/>
        </w:rPr>
      </w:pPr>
      <w:r w:rsidRPr="004359B3">
        <w:rPr>
          <w:rFonts w:ascii="Times New Roman" w:hAnsi="Times New Roman" w:cs="Times New Roman"/>
          <w:b/>
          <w:sz w:val="24"/>
        </w:rPr>
        <w:t>Biography</w:t>
      </w:r>
    </w:p>
    <w:p w:rsidR="004359B3" w:rsidRPr="004359B3" w:rsidRDefault="004359B3" w:rsidP="004359B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359B3">
        <w:rPr>
          <w:rFonts w:ascii="Times New Roman" w:hAnsi="Times New Roman" w:cs="Times New Roman"/>
          <w:sz w:val="20"/>
        </w:rPr>
        <w:t>Mengying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4359B3">
        <w:rPr>
          <w:rFonts w:ascii="Times New Roman" w:hAnsi="Times New Roman" w:cs="Times New Roman"/>
          <w:sz w:val="20"/>
        </w:rPr>
        <w:t>(Mona) Liu has her expertise in molecular biology, microbiology, cell biology, gene &amp; cell therapy, drug development</w:t>
      </w:r>
      <w:r w:rsidR="006856F8">
        <w:rPr>
          <w:rFonts w:ascii="Times New Roman" w:hAnsi="Times New Roman" w:cs="Times New Roman"/>
          <w:sz w:val="20"/>
        </w:rPr>
        <w:t xml:space="preserve"> and</w:t>
      </w:r>
      <w:r w:rsidRPr="004359B3">
        <w:rPr>
          <w:rFonts w:ascii="Times New Roman" w:hAnsi="Times New Roman" w:cs="Times New Roman"/>
          <w:sz w:val="20"/>
        </w:rPr>
        <w:t xml:space="preserve"> biomarker discovery. She has experience in process and assay development. </w:t>
      </w:r>
      <w:r>
        <w:rPr>
          <w:rFonts w:ascii="Times New Roman" w:hAnsi="Times New Roman" w:cs="Times New Roman"/>
          <w:sz w:val="20"/>
        </w:rPr>
        <w:t>Her c</w:t>
      </w:r>
      <w:r w:rsidRPr="004359B3">
        <w:rPr>
          <w:rFonts w:ascii="Times New Roman" w:hAnsi="Times New Roman" w:cs="Times New Roman"/>
          <w:sz w:val="20"/>
        </w:rPr>
        <w:t>urrent research focuses on assay development to provide accurate and high quality IVD products for cancer diagnostic and monitoring.</w:t>
      </w:r>
    </w:p>
    <w:sectPr w:rsidR="004359B3" w:rsidRPr="0043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9B3"/>
    <w:rsid w:val="0032354D"/>
    <w:rsid w:val="004359B3"/>
    <w:rsid w:val="00474203"/>
    <w:rsid w:val="00535872"/>
    <w:rsid w:val="006856F8"/>
    <w:rsid w:val="00924B33"/>
    <w:rsid w:val="0099650D"/>
    <w:rsid w:val="00FF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2023-04-19T04:46:00Z</dcterms:created>
  <dcterms:modified xsi:type="dcterms:W3CDTF">2023-04-19T05:41:00Z</dcterms:modified>
</cp:coreProperties>
</file>