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30591E" w:rsidRDefault="0030591E">
      <w:pPr>
        <w:rPr>
          <w:rFonts w:ascii="Times New Roman" w:hAnsi="Times New Roman" w:cs="Times New Roman"/>
          <w:b/>
          <w:sz w:val="32"/>
        </w:rPr>
      </w:pPr>
      <w:commentRangeStart w:id="0"/>
      <w:r w:rsidRPr="0030591E">
        <w:rPr>
          <w:rFonts w:ascii="Times New Roman" w:hAnsi="Times New Roman" w:cs="Times New Roman"/>
          <w:b/>
          <w:sz w:val="32"/>
        </w:rPr>
        <w:t>Vaccine timing and spacing: What lies beneath?</w:t>
      </w:r>
      <w:commentRangeEnd w:id="0"/>
      <w:r w:rsidR="00DC3A97">
        <w:rPr>
          <w:rStyle w:val="CommentReference"/>
        </w:rPr>
        <w:commentReference w:id="0"/>
      </w:r>
    </w:p>
    <w:p w:rsidR="0030591E" w:rsidRDefault="0030591E">
      <w:pPr>
        <w:rPr>
          <w:rFonts w:ascii="Times New Roman" w:hAnsi="Times New Roman" w:cs="Times New Roman"/>
          <w:sz w:val="24"/>
        </w:rPr>
      </w:pPr>
      <w:proofErr w:type="spellStart"/>
      <w:r w:rsidRPr="0030591E">
        <w:rPr>
          <w:rFonts w:ascii="Times New Roman" w:hAnsi="Times New Roman" w:cs="Times New Roman"/>
          <w:sz w:val="24"/>
        </w:rPr>
        <w:t>Abdou</w:t>
      </w:r>
      <w:proofErr w:type="spellEnd"/>
      <w:r w:rsidRPr="0030591E">
        <w:rPr>
          <w:rFonts w:ascii="Times New Roman" w:hAnsi="Times New Roman" w:cs="Times New Roman"/>
          <w:sz w:val="24"/>
        </w:rPr>
        <w:t xml:space="preserve"> </w:t>
      </w:r>
      <w:proofErr w:type="spellStart"/>
      <w:r w:rsidRPr="0030591E">
        <w:rPr>
          <w:rFonts w:ascii="Times New Roman" w:hAnsi="Times New Roman" w:cs="Times New Roman"/>
          <w:sz w:val="24"/>
        </w:rPr>
        <w:t>Deyab</w:t>
      </w:r>
      <w:proofErr w:type="spellEnd"/>
    </w:p>
    <w:p w:rsidR="0030591E" w:rsidRPr="0030591E" w:rsidRDefault="0030591E">
      <w:pPr>
        <w:rPr>
          <w:rFonts w:ascii="Times New Roman" w:hAnsi="Times New Roman" w:cs="Times New Roman"/>
        </w:rPr>
      </w:pPr>
      <w:r w:rsidRPr="0030591E">
        <w:rPr>
          <w:rFonts w:ascii="Times New Roman" w:hAnsi="Times New Roman" w:cs="Times New Roman"/>
        </w:rPr>
        <w:t>Alexandria University, Egypt</w:t>
      </w:r>
    </w:p>
    <w:p w:rsidR="0030591E" w:rsidRPr="0030591E" w:rsidRDefault="0030591E" w:rsidP="0030591E">
      <w:pPr>
        <w:jc w:val="center"/>
        <w:rPr>
          <w:rFonts w:ascii="Times New Roman" w:hAnsi="Times New Roman" w:cs="Times New Roman"/>
          <w:b/>
          <w:sz w:val="24"/>
        </w:rPr>
      </w:pPr>
      <w:r w:rsidRPr="0030591E">
        <w:rPr>
          <w:rFonts w:ascii="Times New Roman" w:hAnsi="Times New Roman" w:cs="Times New Roman"/>
          <w:b/>
          <w:sz w:val="24"/>
        </w:rPr>
        <w:t>Abstract</w:t>
      </w:r>
    </w:p>
    <w:p w:rsidR="0030591E" w:rsidRDefault="0030591E" w:rsidP="0030591E">
      <w:pPr>
        <w:jc w:val="both"/>
        <w:rPr>
          <w:rFonts w:ascii="Times New Roman" w:hAnsi="Times New Roman" w:cs="Times New Roman"/>
          <w:sz w:val="20"/>
        </w:rPr>
      </w:pPr>
      <w:r w:rsidRPr="0030591E">
        <w:rPr>
          <w:rFonts w:ascii="Times New Roman" w:hAnsi="Times New Roman" w:cs="Times New Roman"/>
          <w:sz w:val="20"/>
        </w:rPr>
        <w:t>Vaccines are generally recommended for members of the youngest age group at risk for experiencing the disease for which vaccine efficacy and sa</w:t>
      </w:r>
      <w:r>
        <w:rPr>
          <w:rFonts w:ascii="Times New Roman" w:hAnsi="Times New Roman" w:cs="Times New Roman"/>
          <w:sz w:val="20"/>
        </w:rPr>
        <w:t xml:space="preserve">fety have been demonstrated. </w:t>
      </w:r>
      <w:r w:rsidRPr="0030591E">
        <w:rPr>
          <w:rFonts w:ascii="Times New Roman" w:hAnsi="Times New Roman" w:cs="Times New Roman"/>
          <w:sz w:val="20"/>
        </w:rPr>
        <w:t>Recommendations for the age at which vaccines are administered are influenced by age-s</w:t>
      </w:r>
      <w:r>
        <w:rPr>
          <w:rFonts w:ascii="Times New Roman" w:hAnsi="Times New Roman" w:cs="Times New Roman"/>
          <w:sz w:val="20"/>
        </w:rPr>
        <w:t>pecific risks for disease, age-</w:t>
      </w:r>
      <w:r w:rsidRPr="0030591E">
        <w:rPr>
          <w:rFonts w:ascii="Times New Roman" w:hAnsi="Times New Roman" w:cs="Times New Roman"/>
          <w:sz w:val="20"/>
        </w:rPr>
        <w:t>specific risks for complications, age-specific responses to vaccination</w:t>
      </w:r>
      <w:r>
        <w:rPr>
          <w:rFonts w:ascii="Times New Roman" w:hAnsi="Times New Roman" w:cs="Times New Roman"/>
          <w:sz w:val="20"/>
        </w:rPr>
        <w:t xml:space="preserve"> and</w:t>
      </w:r>
      <w:r w:rsidRPr="0030591E">
        <w:rPr>
          <w:rFonts w:ascii="Times New Roman" w:hAnsi="Times New Roman" w:cs="Times New Roman"/>
          <w:sz w:val="20"/>
        </w:rPr>
        <w:t xml:space="preserve"> potential interference with the immune response by passively transferred maternal antibodies. Simultaneously administering all vaccines for which a person is eligible at the time of a visit increases the probability that a child, adolescent, or adult will be vaccinated</w:t>
      </w:r>
      <w:r>
        <w:rPr>
          <w:rFonts w:ascii="Times New Roman" w:hAnsi="Times New Roman" w:cs="Times New Roman"/>
          <w:sz w:val="20"/>
        </w:rPr>
        <w:t xml:space="preserve"> fully by the appropriate age. </w:t>
      </w:r>
      <w:r w:rsidRPr="0030591E">
        <w:rPr>
          <w:rFonts w:ascii="Times New Roman" w:hAnsi="Times New Roman" w:cs="Times New Roman"/>
          <w:sz w:val="20"/>
        </w:rPr>
        <w:t xml:space="preserve">Vaccination providers should administer vaccines as close to the appropriate age and recommended intervals as possible. Doses administered too close together or at too young an age can lead to a suboptimal immune response. However, intervals between doses that are longer than recommended typically do not reduce final antibody concentrations, although protection might not be attained until the recommended number of doses has been administered. With 2 exceptions, simultaneously administering the most widely used live and inactivated vaccines has produced </w:t>
      </w:r>
      <w:proofErr w:type="spellStart"/>
      <w:r w:rsidRPr="0030591E">
        <w:rPr>
          <w:rFonts w:ascii="Times New Roman" w:hAnsi="Times New Roman" w:cs="Times New Roman"/>
          <w:sz w:val="20"/>
        </w:rPr>
        <w:t>seroconversion</w:t>
      </w:r>
      <w:proofErr w:type="spellEnd"/>
      <w:r w:rsidRPr="0030591E">
        <w:rPr>
          <w:rFonts w:ascii="Times New Roman" w:hAnsi="Times New Roman" w:cs="Times New Roman"/>
          <w:sz w:val="20"/>
        </w:rPr>
        <w:t xml:space="preserve"> rates</w:t>
      </w:r>
      <w:r>
        <w:rPr>
          <w:rFonts w:ascii="Times New Roman" w:hAnsi="Times New Roman" w:cs="Times New Roman"/>
          <w:sz w:val="20"/>
        </w:rPr>
        <w:t xml:space="preserve"> and</w:t>
      </w:r>
      <w:r w:rsidRPr="0030591E">
        <w:rPr>
          <w:rFonts w:ascii="Times New Roman" w:hAnsi="Times New Roman" w:cs="Times New Roman"/>
          <w:sz w:val="20"/>
        </w:rPr>
        <w:t xml:space="preserve"> rates for adverse reactions similar to those observed when the vaccines are administered separately. The 2 exceptions: PCV13 should be administered first and </w:t>
      </w:r>
      <w:proofErr w:type="spellStart"/>
      <w:r w:rsidRPr="0030591E">
        <w:rPr>
          <w:rFonts w:ascii="Times New Roman" w:hAnsi="Times New Roman" w:cs="Times New Roman"/>
          <w:sz w:val="20"/>
        </w:rPr>
        <w:t>MenACWY</w:t>
      </w:r>
      <w:proofErr w:type="spellEnd"/>
      <w:r w:rsidRPr="0030591E">
        <w:rPr>
          <w:rFonts w:ascii="Times New Roman" w:hAnsi="Times New Roman" w:cs="Times New Roman"/>
          <w:sz w:val="20"/>
        </w:rPr>
        <w:t>-D 4 weeks later. And separa</w:t>
      </w:r>
      <w:r w:rsidRPr="0030591E">
        <w:rPr>
          <w:rFonts w:ascii="Times New Roman" w:hAnsi="Times New Roman" w:cs="Times New Roman"/>
          <w:sz w:val="20"/>
        </w:rPr>
        <w:t xml:space="preserve">tion of doses between PCV13 and </w:t>
      </w:r>
      <w:r w:rsidRPr="0030591E">
        <w:rPr>
          <w:rFonts w:ascii="Times New Roman" w:hAnsi="Times New Roman" w:cs="Times New Roman"/>
          <w:sz w:val="20"/>
        </w:rPr>
        <w:t>PPSV23 will be 6-12 months recommended for non- high risk, 8 week minimum for high risk if PCV13 is given first.</w:t>
      </w:r>
      <w:r>
        <w:rPr>
          <w:rFonts w:ascii="Times New Roman" w:hAnsi="Times New Roman" w:cs="Times New Roman"/>
          <w:sz w:val="20"/>
        </w:rPr>
        <w:t xml:space="preserve"> </w:t>
      </w:r>
      <w:r w:rsidRPr="0030591E">
        <w:rPr>
          <w:rFonts w:ascii="Times New Roman" w:hAnsi="Times New Roman" w:cs="Times New Roman"/>
          <w:sz w:val="20"/>
        </w:rPr>
        <w:t>With these two exceptions, any inactivated vaccine can be administered either simultaneously or at any</w:t>
      </w:r>
      <w:bookmarkStart w:id="1" w:name="_GoBack"/>
      <w:bookmarkEnd w:id="1"/>
      <w:r w:rsidRPr="0030591E">
        <w:rPr>
          <w:rFonts w:ascii="Times New Roman" w:hAnsi="Times New Roman" w:cs="Times New Roman"/>
          <w:sz w:val="20"/>
        </w:rPr>
        <w:t xml:space="preserve"> time before or after a different inactivated vaccine or live vaccine. The oral vaccines Ty21a typhoid vaccine and rotavirus can be administered simultaneously with or at any interval before or after other live vaccines (injecta</w:t>
      </w:r>
      <w:r>
        <w:rPr>
          <w:rFonts w:ascii="Times New Roman" w:hAnsi="Times New Roman" w:cs="Times New Roman"/>
          <w:sz w:val="20"/>
        </w:rPr>
        <w:t>ble or intranasal) if indicated</w:t>
      </w:r>
      <w:r w:rsidRPr="0030591E">
        <w:rPr>
          <w:rFonts w:ascii="Times New Roman" w:hAnsi="Times New Roman" w:cs="Times New Roman"/>
          <w:sz w:val="20"/>
        </w:rPr>
        <w:t>.</w:t>
      </w:r>
      <w:r>
        <w:rPr>
          <w:rFonts w:ascii="Times New Roman" w:hAnsi="Times New Roman" w:cs="Times New Roman"/>
          <w:sz w:val="20"/>
        </w:rPr>
        <w:t xml:space="preserve"> </w:t>
      </w:r>
      <w:r w:rsidRPr="0030591E">
        <w:rPr>
          <w:rFonts w:ascii="Times New Roman" w:hAnsi="Times New Roman" w:cs="Times New Roman"/>
          <w:sz w:val="20"/>
        </w:rPr>
        <w:t>Two or more injectable or nasally administered live vaccines not administered on the same day should be separated by at least 4 weeks to minimize the pot</w:t>
      </w:r>
      <w:r>
        <w:rPr>
          <w:rFonts w:ascii="Times New Roman" w:hAnsi="Times New Roman" w:cs="Times New Roman"/>
          <w:sz w:val="20"/>
        </w:rPr>
        <w:t xml:space="preserve">ential risk for interference. </w:t>
      </w:r>
      <w:r w:rsidRPr="0030591E">
        <w:rPr>
          <w:rFonts w:ascii="Times New Roman" w:hAnsi="Times New Roman" w:cs="Times New Roman"/>
          <w:sz w:val="20"/>
        </w:rPr>
        <w:t xml:space="preserve">Inactivated vaccines and toxoids can be administered either simultaneously with or at any interval before or after receipt of an antibody-containing product. The vaccine or toxoid and antibody preparation should be administered at different sites using </w:t>
      </w:r>
      <w:r>
        <w:rPr>
          <w:rFonts w:ascii="Times New Roman" w:hAnsi="Times New Roman" w:cs="Times New Roman"/>
          <w:sz w:val="20"/>
        </w:rPr>
        <w:t xml:space="preserve">the standard recommended dose. </w:t>
      </w:r>
      <w:r w:rsidRPr="0030591E">
        <w:rPr>
          <w:rFonts w:ascii="Times New Roman" w:hAnsi="Times New Roman" w:cs="Times New Roman"/>
          <w:sz w:val="20"/>
        </w:rPr>
        <w:t>Ty21a typhoid, yellow fever, LAIV</w:t>
      </w:r>
      <w:r>
        <w:rPr>
          <w:rFonts w:ascii="Times New Roman" w:hAnsi="Times New Roman" w:cs="Times New Roman"/>
          <w:sz w:val="20"/>
        </w:rPr>
        <w:t xml:space="preserve"> and</w:t>
      </w:r>
      <w:r w:rsidRPr="0030591E">
        <w:rPr>
          <w:rFonts w:ascii="Times New Roman" w:hAnsi="Times New Roman" w:cs="Times New Roman"/>
          <w:sz w:val="20"/>
        </w:rPr>
        <w:t xml:space="preserve"> rotavirus vaccines may be administered at any time before, concurrent with, or after administration of any antibody-containing preparation such as immune globulin, </w:t>
      </w:r>
      <w:proofErr w:type="spellStart"/>
      <w:r w:rsidRPr="0030591E">
        <w:rPr>
          <w:rFonts w:ascii="Times New Roman" w:hAnsi="Times New Roman" w:cs="Times New Roman"/>
          <w:sz w:val="20"/>
        </w:rPr>
        <w:t>hyperimmune</w:t>
      </w:r>
      <w:proofErr w:type="spellEnd"/>
      <w:r w:rsidRPr="0030591E">
        <w:rPr>
          <w:rFonts w:ascii="Times New Roman" w:hAnsi="Times New Roman" w:cs="Times New Roman"/>
          <w:sz w:val="20"/>
        </w:rPr>
        <w:t xml:space="preserve"> globulin, or </w:t>
      </w:r>
      <w:r w:rsidRPr="0030591E">
        <w:rPr>
          <w:rFonts w:ascii="Times New Roman" w:hAnsi="Times New Roman" w:cs="Times New Roman"/>
          <w:sz w:val="20"/>
        </w:rPr>
        <w:t xml:space="preserve">Intravenous Immune Globulin </w:t>
      </w:r>
      <w:r w:rsidRPr="0030591E">
        <w:rPr>
          <w:rFonts w:ascii="Times New Roman" w:hAnsi="Times New Roman" w:cs="Times New Roman"/>
          <w:sz w:val="20"/>
        </w:rPr>
        <w:t xml:space="preserve">(IGIV). Antibody-containing blood or blood products (e.g. immune globulin, </w:t>
      </w:r>
      <w:proofErr w:type="spellStart"/>
      <w:r w:rsidRPr="0030591E">
        <w:rPr>
          <w:rFonts w:ascii="Times New Roman" w:hAnsi="Times New Roman" w:cs="Times New Roman"/>
          <w:sz w:val="20"/>
        </w:rPr>
        <w:t>hyperimmune</w:t>
      </w:r>
      <w:proofErr w:type="spellEnd"/>
      <w:r w:rsidRPr="0030591E">
        <w:rPr>
          <w:rFonts w:ascii="Times New Roman" w:hAnsi="Times New Roman" w:cs="Times New Roman"/>
          <w:sz w:val="20"/>
        </w:rPr>
        <w:t xml:space="preserve"> globulin</w:t>
      </w:r>
      <w:r>
        <w:rPr>
          <w:rFonts w:ascii="Times New Roman" w:hAnsi="Times New Roman" w:cs="Times New Roman"/>
          <w:sz w:val="20"/>
        </w:rPr>
        <w:t xml:space="preserve"> and</w:t>
      </w:r>
      <w:r w:rsidRPr="0030591E">
        <w:rPr>
          <w:rFonts w:ascii="Times New Roman" w:hAnsi="Times New Roman" w:cs="Times New Roman"/>
          <w:sz w:val="20"/>
        </w:rPr>
        <w:t xml:space="preserve"> IGIV) can inhibit the immune response to measles, rubella, mumps and varicella vaccines for ≥</w:t>
      </w:r>
      <w:r>
        <w:rPr>
          <w:rFonts w:ascii="Times New Roman" w:hAnsi="Times New Roman" w:cs="Times New Roman"/>
          <w:sz w:val="20"/>
        </w:rPr>
        <w:t xml:space="preserve"> </w:t>
      </w:r>
      <w:r w:rsidRPr="0030591E">
        <w:rPr>
          <w:rFonts w:ascii="Times New Roman" w:hAnsi="Times New Roman" w:cs="Times New Roman"/>
          <w:sz w:val="20"/>
        </w:rPr>
        <w:t xml:space="preserve">3 months. Therefore, these vaccines should be delayed until the passive antibody has degraded. </w:t>
      </w:r>
    </w:p>
    <w:p w:rsidR="0030591E" w:rsidRPr="0030591E" w:rsidRDefault="0030591E" w:rsidP="0030591E">
      <w:pPr>
        <w:rPr>
          <w:rFonts w:ascii="Times New Roman" w:hAnsi="Times New Roman" w:cs="Times New Roman"/>
          <w:b/>
          <w:sz w:val="24"/>
        </w:rPr>
      </w:pPr>
      <w:r w:rsidRPr="0030591E">
        <w:rPr>
          <w:rFonts w:ascii="Times New Roman" w:hAnsi="Times New Roman" w:cs="Times New Roman"/>
          <w:b/>
          <w:sz w:val="24"/>
        </w:rPr>
        <w:t>Biography</w:t>
      </w:r>
    </w:p>
    <w:p w:rsidR="0030591E" w:rsidRPr="0030591E" w:rsidRDefault="0030591E" w:rsidP="0030591E">
      <w:pPr>
        <w:jc w:val="both"/>
        <w:rPr>
          <w:rFonts w:ascii="Times New Roman" w:hAnsi="Times New Roman" w:cs="Times New Roman"/>
          <w:sz w:val="20"/>
        </w:rPr>
      </w:pPr>
      <w:proofErr w:type="spellStart"/>
      <w:r w:rsidRPr="0030591E">
        <w:rPr>
          <w:rFonts w:ascii="Times New Roman" w:hAnsi="Times New Roman" w:cs="Times New Roman"/>
          <w:sz w:val="20"/>
        </w:rPr>
        <w:t>Abdou</w:t>
      </w:r>
      <w:proofErr w:type="spellEnd"/>
      <w:r w:rsidRPr="0030591E">
        <w:rPr>
          <w:rFonts w:ascii="Times New Roman" w:hAnsi="Times New Roman" w:cs="Times New Roman"/>
          <w:sz w:val="20"/>
        </w:rPr>
        <w:t xml:space="preserve"> </w:t>
      </w:r>
      <w:proofErr w:type="spellStart"/>
      <w:r w:rsidRPr="0030591E">
        <w:rPr>
          <w:rFonts w:ascii="Times New Roman" w:hAnsi="Times New Roman" w:cs="Times New Roman"/>
          <w:sz w:val="20"/>
        </w:rPr>
        <w:t>Deyab</w:t>
      </w:r>
      <w:proofErr w:type="spellEnd"/>
      <w:r w:rsidRPr="0030591E">
        <w:rPr>
          <w:rFonts w:ascii="Times New Roman" w:hAnsi="Times New Roman" w:cs="Times New Roman"/>
          <w:sz w:val="20"/>
        </w:rPr>
        <w:t xml:space="preserve"> is belongs to Egypt. He has his expertise in evaluation and passion in improving the health and wellbeing. He comes with over 15 years of experience in the practice and research work of general pediatrics and pediatric </w:t>
      </w:r>
      <w:proofErr w:type="spellStart"/>
      <w:r w:rsidRPr="0030591E">
        <w:rPr>
          <w:rFonts w:ascii="Times New Roman" w:hAnsi="Times New Roman" w:cs="Times New Roman"/>
          <w:sz w:val="20"/>
        </w:rPr>
        <w:t>haematology</w:t>
      </w:r>
      <w:proofErr w:type="spellEnd"/>
      <w:r w:rsidRPr="0030591E">
        <w:rPr>
          <w:rFonts w:ascii="Times New Roman" w:hAnsi="Times New Roman" w:cs="Times New Roman"/>
          <w:sz w:val="20"/>
        </w:rPr>
        <w:t xml:space="preserve"> oncology in Egypt, Kuwait and Oman. He held the position of specialist pediatrician.</w:t>
      </w:r>
    </w:p>
    <w:sectPr w:rsidR="0030591E" w:rsidRPr="0030591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3-06T17:32:00Z" w:initials="SS">
    <w:p w:rsidR="00DC3A97" w:rsidRDefault="00DC3A97">
      <w:pPr>
        <w:pStyle w:val="CommentText"/>
      </w:pPr>
      <w:r>
        <w:rPr>
          <w:rStyle w:val="CommentReference"/>
        </w:rPr>
        <w:annotationRef/>
      </w:r>
      <w:r>
        <w:t>Rejected as content is plagiarized from below links.</w:t>
      </w:r>
    </w:p>
    <w:p w:rsidR="00DC3A97" w:rsidRDefault="00DC3A97">
      <w:pPr>
        <w:pStyle w:val="CommentText"/>
      </w:pPr>
    </w:p>
    <w:p w:rsidR="00DC3A97" w:rsidRDefault="00DC3A97" w:rsidP="00DC3A97">
      <w:pPr>
        <w:pStyle w:val="CommentText"/>
        <w:numPr>
          <w:ilvl w:val="0"/>
          <w:numId w:val="1"/>
        </w:numPr>
      </w:pPr>
      <w:hyperlink r:id="rId1" w:history="1">
        <w:r w:rsidRPr="007E6775">
          <w:rPr>
            <w:rStyle w:val="Hyperlink"/>
          </w:rPr>
          <w:t>https://www.cdc.gov/vaccines/hcp/acip-recs/general-recs/timing.html</w:t>
        </w:r>
      </w:hyperlink>
    </w:p>
    <w:p w:rsidR="00DC3A97" w:rsidRDefault="00DC3A97" w:rsidP="00DC3A97">
      <w:pPr>
        <w:pStyle w:val="CommentText"/>
        <w:numPr>
          <w:ilvl w:val="0"/>
          <w:numId w:val="1"/>
        </w:numPr>
      </w:pPr>
      <w:hyperlink r:id="rId2" w:history="1">
        <w:r w:rsidRPr="007E6775">
          <w:rPr>
            <w:rStyle w:val="Hyperlink"/>
          </w:rPr>
          <w:t>https://vaxopedia.org/2018/09/06/is-there-a-grace-period-for-getting-vaccines/</w:t>
        </w:r>
      </w:hyperlink>
    </w:p>
    <w:p w:rsidR="00DC3A97" w:rsidRDefault="00DC3A97" w:rsidP="00DC3A97">
      <w:pPr>
        <w:pStyle w:val="CommentText"/>
        <w:numPr>
          <w:ilvl w:val="0"/>
          <w:numId w:val="1"/>
        </w:numPr>
      </w:pPr>
      <w:hyperlink r:id="rId3" w:history="1">
        <w:r w:rsidRPr="007E6775">
          <w:rPr>
            <w:rStyle w:val="Hyperlink"/>
          </w:rPr>
          <w:t>https://health.ri.gov/publications/guidelines/BestPracticeGuidelinesForImmunization.pdf</w:t>
        </w:r>
      </w:hyperlink>
    </w:p>
    <w:p w:rsidR="00DC3A97" w:rsidRDefault="00DC3A97" w:rsidP="00DC3A97">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BB3EFB"/>
    <w:multiLevelType w:val="hybridMultilevel"/>
    <w:tmpl w:val="DB32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91E"/>
    <w:rsid w:val="0030591E"/>
    <w:rsid w:val="0032354D"/>
    <w:rsid w:val="00474203"/>
    <w:rsid w:val="00535872"/>
    <w:rsid w:val="00924B33"/>
    <w:rsid w:val="00DC3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3A97"/>
    <w:rPr>
      <w:sz w:val="16"/>
      <w:szCs w:val="16"/>
    </w:rPr>
  </w:style>
  <w:style w:type="paragraph" w:styleId="CommentText">
    <w:name w:val="annotation text"/>
    <w:basedOn w:val="Normal"/>
    <w:link w:val="CommentTextChar"/>
    <w:uiPriority w:val="99"/>
    <w:semiHidden/>
    <w:unhideWhenUsed/>
    <w:rsid w:val="00DC3A97"/>
    <w:pPr>
      <w:spacing w:line="240" w:lineRule="auto"/>
    </w:pPr>
    <w:rPr>
      <w:sz w:val="20"/>
      <w:szCs w:val="20"/>
    </w:rPr>
  </w:style>
  <w:style w:type="character" w:customStyle="1" w:styleId="CommentTextChar">
    <w:name w:val="Comment Text Char"/>
    <w:basedOn w:val="DefaultParagraphFont"/>
    <w:link w:val="CommentText"/>
    <w:uiPriority w:val="99"/>
    <w:semiHidden/>
    <w:rsid w:val="00DC3A97"/>
    <w:rPr>
      <w:sz w:val="20"/>
      <w:szCs w:val="20"/>
    </w:rPr>
  </w:style>
  <w:style w:type="paragraph" w:styleId="CommentSubject">
    <w:name w:val="annotation subject"/>
    <w:basedOn w:val="CommentText"/>
    <w:next w:val="CommentText"/>
    <w:link w:val="CommentSubjectChar"/>
    <w:uiPriority w:val="99"/>
    <w:semiHidden/>
    <w:unhideWhenUsed/>
    <w:rsid w:val="00DC3A97"/>
    <w:rPr>
      <w:b/>
      <w:bCs/>
    </w:rPr>
  </w:style>
  <w:style w:type="character" w:customStyle="1" w:styleId="CommentSubjectChar">
    <w:name w:val="Comment Subject Char"/>
    <w:basedOn w:val="CommentTextChar"/>
    <w:link w:val="CommentSubject"/>
    <w:uiPriority w:val="99"/>
    <w:semiHidden/>
    <w:rsid w:val="00DC3A97"/>
    <w:rPr>
      <w:b/>
      <w:bCs/>
      <w:sz w:val="20"/>
      <w:szCs w:val="20"/>
    </w:rPr>
  </w:style>
  <w:style w:type="paragraph" w:styleId="BalloonText">
    <w:name w:val="Balloon Text"/>
    <w:basedOn w:val="Normal"/>
    <w:link w:val="BalloonTextChar"/>
    <w:uiPriority w:val="99"/>
    <w:semiHidden/>
    <w:unhideWhenUsed/>
    <w:rsid w:val="00DC3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A97"/>
    <w:rPr>
      <w:rFonts w:ascii="Tahoma" w:hAnsi="Tahoma" w:cs="Tahoma"/>
      <w:sz w:val="16"/>
      <w:szCs w:val="16"/>
    </w:rPr>
  </w:style>
  <w:style w:type="character" w:styleId="Hyperlink">
    <w:name w:val="Hyperlink"/>
    <w:basedOn w:val="DefaultParagraphFont"/>
    <w:uiPriority w:val="99"/>
    <w:unhideWhenUsed/>
    <w:rsid w:val="00DC3A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3A97"/>
    <w:rPr>
      <w:sz w:val="16"/>
      <w:szCs w:val="16"/>
    </w:rPr>
  </w:style>
  <w:style w:type="paragraph" w:styleId="CommentText">
    <w:name w:val="annotation text"/>
    <w:basedOn w:val="Normal"/>
    <w:link w:val="CommentTextChar"/>
    <w:uiPriority w:val="99"/>
    <w:semiHidden/>
    <w:unhideWhenUsed/>
    <w:rsid w:val="00DC3A97"/>
    <w:pPr>
      <w:spacing w:line="240" w:lineRule="auto"/>
    </w:pPr>
    <w:rPr>
      <w:sz w:val="20"/>
      <w:szCs w:val="20"/>
    </w:rPr>
  </w:style>
  <w:style w:type="character" w:customStyle="1" w:styleId="CommentTextChar">
    <w:name w:val="Comment Text Char"/>
    <w:basedOn w:val="DefaultParagraphFont"/>
    <w:link w:val="CommentText"/>
    <w:uiPriority w:val="99"/>
    <w:semiHidden/>
    <w:rsid w:val="00DC3A97"/>
    <w:rPr>
      <w:sz w:val="20"/>
      <w:szCs w:val="20"/>
    </w:rPr>
  </w:style>
  <w:style w:type="paragraph" w:styleId="CommentSubject">
    <w:name w:val="annotation subject"/>
    <w:basedOn w:val="CommentText"/>
    <w:next w:val="CommentText"/>
    <w:link w:val="CommentSubjectChar"/>
    <w:uiPriority w:val="99"/>
    <w:semiHidden/>
    <w:unhideWhenUsed/>
    <w:rsid w:val="00DC3A97"/>
    <w:rPr>
      <w:b/>
      <w:bCs/>
    </w:rPr>
  </w:style>
  <w:style w:type="character" w:customStyle="1" w:styleId="CommentSubjectChar">
    <w:name w:val="Comment Subject Char"/>
    <w:basedOn w:val="CommentTextChar"/>
    <w:link w:val="CommentSubject"/>
    <w:uiPriority w:val="99"/>
    <w:semiHidden/>
    <w:rsid w:val="00DC3A97"/>
    <w:rPr>
      <w:b/>
      <w:bCs/>
      <w:sz w:val="20"/>
      <w:szCs w:val="20"/>
    </w:rPr>
  </w:style>
  <w:style w:type="paragraph" w:styleId="BalloonText">
    <w:name w:val="Balloon Text"/>
    <w:basedOn w:val="Normal"/>
    <w:link w:val="BalloonTextChar"/>
    <w:uiPriority w:val="99"/>
    <w:semiHidden/>
    <w:unhideWhenUsed/>
    <w:rsid w:val="00DC3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A97"/>
    <w:rPr>
      <w:rFonts w:ascii="Tahoma" w:hAnsi="Tahoma" w:cs="Tahoma"/>
      <w:sz w:val="16"/>
      <w:szCs w:val="16"/>
    </w:rPr>
  </w:style>
  <w:style w:type="character" w:styleId="Hyperlink">
    <w:name w:val="Hyperlink"/>
    <w:basedOn w:val="DefaultParagraphFont"/>
    <w:uiPriority w:val="99"/>
    <w:unhideWhenUsed/>
    <w:rsid w:val="00DC3A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health.ri.gov/publications/guidelines/BestPracticeGuidelinesForImmunization.pdf" TargetMode="External"/><Relationship Id="rId2" Type="http://schemas.openxmlformats.org/officeDocument/2006/relationships/hyperlink" Target="https://vaxopedia.org/2018/09/06/is-there-a-grace-period-for-getting-vaccines/" TargetMode="External"/><Relationship Id="rId1" Type="http://schemas.openxmlformats.org/officeDocument/2006/relationships/hyperlink" Target="https://www.cdc.gov/vaccines/hcp/acip-recs/general-recs/timing.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2023-03-06T11:09:00Z</dcterms:created>
  <dcterms:modified xsi:type="dcterms:W3CDTF">2023-03-06T12:02:00Z</dcterms:modified>
</cp:coreProperties>
</file>