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10BB1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A10BB1">
        <w:rPr>
          <w:rFonts w:ascii="Times New Roman" w:hAnsi="Times New Roman" w:cs="Times New Roman"/>
          <w:b/>
          <w:sz w:val="32"/>
        </w:rPr>
        <w:t xml:space="preserve">Related factors of bleeding events in </w:t>
      </w:r>
      <w:proofErr w:type="spellStart"/>
      <w:r w:rsidRPr="00A10BB1">
        <w:rPr>
          <w:rFonts w:ascii="Times New Roman" w:hAnsi="Times New Roman" w:cs="Times New Roman"/>
          <w:b/>
          <w:sz w:val="32"/>
        </w:rPr>
        <w:t>ticagrelor</w:t>
      </w:r>
      <w:proofErr w:type="spellEnd"/>
      <w:r w:rsidRPr="00A10BB1">
        <w:rPr>
          <w:rFonts w:ascii="Times New Roman" w:hAnsi="Times New Roman" w:cs="Times New Roman"/>
          <w:b/>
          <w:sz w:val="32"/>
        </w:rPr>
        <w:t>-treated elderly patients with coronary artery disease</w:t>
      </w:r>
    </w:p>
    <w:p w:rsidR="00A10BB1" w:rsidRDefault="00A10BB1">
      <w:pPr>
        <w:rPr>
          <w:rFonts w:ascii="Times New Roman" w:hAnsi="Times New Roman" w:cs="Times New Roman"/>
          <w:sz w:val="24"/>
        </w:rPr>
      </w:pPr>
      <w:proofErr w:type="spellStart"/>
      <w:r w:rsidRPr="00A10BB1">
        <w:rPr>
          <w:rFonts w:ascii="Times New Roman" w:hAnsi="Times New Roman" w:cs="Times New Roman"/>
          <w:sz w:val="24"/>
        </w:rPr>
        <w:t>Shizhao</w:t>
      </w:r>
      <w:proofErr w:type="spellEnd"/>
      <w:r w:rsidRPr="00A10BB1">
        <w:rPr>
          <w:rFonts w:ascii="Times New Roman" w:hAnsi="Times New Roman" w:cs="Times New Roman"/>
          <w:sz w:val="24"/>
        </w:rPr>
        <w:t xml:space="preserve"> Zhang</w:t>
      </w:r>
      <w:r>
        <w:rPr>
          <w:rFonts w:ascii="Times New Roman" w:hAnsi="Times New Roman" w:cs="Times New Roman"/>
          <w:sz w:val="24"/>
        </w:rPr>
        <w:t xml:space="preserve">* and </w:t>
      </w:r>
      <w:r w:rsidRPr="00A10BB1">
        <w:rPr>
          <w:rFonts w:ascii="Times New Roman" w:hAnsi="Times New Roman" w:cs="Times New Roman"/>
          <w:sz w:val="24"/>
        </w:rPr>
        <w:t>Tong Yin</w:t>
      </w:r>
    </w:p>
    <w:p w:rsidR="00A10BB1" w:rsidRPr="00A10BB1" w:rsidRDefault="00A10BB1">
      <w:pPr>
        <w:rPr>
          <w:rFonts w:ascii="Times New Roman" w:hAnsi="Times New Roman" w:cs="Times New Roman"/>
        </w:rPr>
      </w:pPr>
      <w:r w:rsidRPr="00A10BB1">
        <w:rPr>
          <w:rFonts w:ascii="Times New Roman" w:hAnsi="Times New Roman" w:cs="Times New Roman"/>
        </w:rPr>
        <w:t>Chinese PLA General Hospital, China</w:t>
      </w:r>
    </w:p>
    <w:p w:rsidR="00A10BB1" w:rsidRPr="00A10BB1" w:rsidRDefault="00A10BB1" w:rsidP="00A10BB1">
      <w:pPr>
        <w:jc w:val="center"/>
        <w:rPr>
          <w:rFonts w:ascii="Times New Roman" w:hAnsi="Times New Roman" w:cs="Times New Roman"/>
          <w:b/>
          <w:sz w:val="24"/>
        </w:rPr>
      </w:pPr>
      <w:r w:rsidRPr="00A10BB1">
        <w:rPr>
          <w:rFonts w:ascii="Times New Roman" w:hAnsi="Times New Roman" w:cs="Times New Roman"/>
          <w:b/>
          <w:sz w:val="24"/>
        </w:rPr>
        <w:t>Abstract</w:t>
      </w:r>
    </w:p>
    <w:p w:rsidR="00A10BB1" w:rsidRPr="00A10BB1" w:rsidRDefault="00A10BB1" w:rsidP="00A10BB1">
      <w:pPr>
        <w:jc w:val="both"/>
        <w:rPr>
          <w:rFonts w:ascii="Times New Roman" w:hAnsi="Times New Roman" w:cs="Times New Roman"/>
          <w:sz w:val="20"/>
        </w:rPr>
      </w:pPr>
      <w:r w:rsidRPr="00A10BB1">
        <w:rPr>
          <w:rFonts w:ascii="Times New Roman" w:hAnsi="Times New Roman" w:cs="Times New Roman"/>
          <w:b/>
          <w:sz w:val="20"/>
        </w:rPr>
        <w:t>Objective:</w:t>
      </w:r>
      <w:r w:rsidRPr="00A10BB1">
        <w:rPr>
          <w:rFonts w:ascii="Times New Roman" w:hAnsi="Times New Roman" w:cs="Times New Roman"/>
          <w:sz w:val="20"/>
        </w:rPr>
        <w:t xml:space="preserve"> To analyze the related factors of bleeding events in </w:t>
      </w:r>
      <w:proofErr w:type="spellStart"/>
      <w:r w:rsidRPr="00A10BB1">
        <w:rPr>
          <w:rFonts w:ascii="Times New Roman" w:hAnsi="Times New Roman" w:cs="Times New Roman"/>
          <w:sz w:val="20"/>
        </w:rPr>
        <w:t>ticagrelor</w:t>
      </w:r>
      <w:proofErr w:type="spellEnd"/>
      <w:r w:rsidRPr="00A10BB1">
        <w:rPr>
          <w:rFonts w:ascii="Times New Roman" w:hAnsi="Times New Roman" w:cs="Times New Roman"/>
          <w:sz w:val="20"/>
        </w:rPr>
        <w:t>-treated elderly patients with coronary artery disease.</w:t>
      </w:r>
    </w:p>
    <w:p w:rsidR="00A10BB1" w:rsidRDefault="00A10BB1" w:rsidP="00A10BB1">
      <w:pPr>
        <w:jc w:val="both"/>
        <w:rPr>
          <w:rFonts w:ascii="Times New Roman" w:hAnsi="Times New Roman" w:cs="Times New Roman"/>
          <w:sz w:val="20"/>
        </w:rPr>
      </w:pPr>
      <w:r w:rsidRPr="00A10BB1">
        <w:rPr>
          <w:rFonts w:ascii="Times New Roman" w:hAnsi="Times New Roman" w:cs="Times New Roman"/>
          <w:b/>
          <w:sz w:val="20"/>
        </w:rPr>
        <w:t>Method:</w:t>
      </w:r>
      <w:r w:rsidRPr="00A10BB1">
        <w:rPr>
          <w:rFonts w:ascii="Times New Roman" w:hAnsi="Times New Roman" w:cs="Times New Roman"/>
          <w:sz w:val="20"/>
        </w:rPr>
        <w:t xml:space="preserve"> Patients aged ≥</w:t>
      </w:r>
      <w:r>
        <w:rPr>
          <w:rFonts w:ascii="Times New Roman" w:hAnsi="Times New Roman" w:cs="Times New Roman"/>
          <w:sz w:val="20"/>
        </w:rPr>
        <w:t xml:space="preserve"> </w:t>
      </w:r>
      <w:r w:rsidRPr="00A10BB1">
        <w:rPr>
          <w:rFonts w:ascii="Times New Roman" w:hAnsi="Times New Roman" w:cs="Times New Roman"/>
          <w:sz w:val="20"/>
        </w:rPr>
        <w:t xml:space="preserve">65 years diagnosed with coronary artery disease and treated with </w:t>
      </w:r>
      <w:proofErr w:type="spellStart"/>
      <w:r w:rsidRPr="00A10BB1">
        <w:rPr>
          <w:rFonts w:ascii="Times New Roman" w:hAnsi="Times New Roman" w:cs="Times New Roman"/>
          <w:sz w:val="20"/>
        </w:rPr>
        <w:t>ticagrelor</w:t>
      </w:r>
      <w:proofErr w:type="spellEnd"/>
      <w:r w:rsidRPr="00A10BB1">
        <w:rPr>
          <w:rFonts w:ascii="Times New Roman" w:hAnsi="Times New Roman" w:cs="Times New Roman"/>
          <w:sz w:val="20"/>
        </w:rPr>
        <w:t xml:space="preserve"> were enrolled. All patients were followed up to observe the occurrence of Bleeding Academic Research Consortium (BARC) ≥ 2 requiring clinical intervention within 1 year. Patients were divided into bleeding group (n=55) and bleeding-free group (n=328) according to the occurrence of BARC</w:t>
      </w:r>
      <w:r>
        <w:rPr>
          <w:rFonts w:ascii="Times New Roman" w:hAnsi="Times New Roman" w:cs="Times New Roman"/>
          <w:sz w:val="20"/>
        </w:rPr>
        <w:t xml:space="preserve"> </w:t>
      </w:r>
      <w:r w:rsidRPr="00A10BB1">
        <w:rPr>
          <w:rFonts w:ascii="Times New Roman" w:hAnsi="Times New Roman" w:cs="Times New Roman"/>
          <w:sz w:val="20"/>
        </w:rPr>
        <w:t xml:space="preserve">≥ 2 bleeding events. Multivariate regression analysis was applied to analyze the related factors of bleeding events during </w:t>
      </w:r>
      <w:proofErr w:type="spellStart"/>
      <w:r w:rsidRPr="00A10BB1">
        <w:rPr>
          <w:rFonts w:ascii="Times New Roman" w:hAnsi="Times New Roman" w:cs="Times New Roman"/>
          <w:sz w:val="20"/>
        </w:rPr>
        <w:t>ticagrelor</w:t>
      </w:r>
      <w:proofErr w:type="spellEnd"/>
      <w:r w:rsidRPr="00A10BB1">
        <w:rPr>
          <w:rFonts w:ascii="Times New Roman" w:hAnsi="Times New Roman" w:cs="Times New Roman"/>
          <w:sz w:val="20"/>
        </w:rPr>
        <w:t xml:space="preserve"> treatment</w:t>
      </w:r>
      <w:r>
        <w:rPr>
          <w:rFonts w:ascii="Times New Roman" w:hAnsi="Times New Roman" w:cs="Times New Roman"/>
          <w:sz w:val="20"/>
        </w:rPr>
        <w:t xml:space="preserve"> [Table 1]</w:t>
      </w:r>
      <w:r w:rsidRPr="00A10BB1">
        <w:rPr>
          <w:rFonts w:ascii="Times New Roman" w:hAnsi="Times New Roman" w:cs="Times New Roman"/>
          <w:sz w:val="20"/>
        </w:rPr>
        <w:t>.</w:t>
      </w:r>
    </w:p>
    <w:p w:rsidR="00A10BB1" w:rsidRPr="00A10BB1" w:rsidRDefault="00A10BB1" w:rsidP="00A10BB1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A10BB1">
        <w:rPr>
          <w:rFonts w:ascii="Times New Roman" w:hAnsi="Times New Roman" w:cs="Times New Roman"/>
          <w:b/>
          <w:i/>
          <w:sz w:val="18"/>
        </w:rPr>
        <w:t>Table 1.</w:t>
      </w:r>
      <w:proofErr w:type="gramEnd"/>
      <w:r w:rsidRPr="00A10BB1">
        <w:rPr>
          <w:rFonts w:ascii="Times New Roman" w:hAnsi="Times New Roman" w:cs="Times New Roman"/>
          <w:i/>
          <w:sz w:val="18"/>
        </w:rPr>
        <w:t xml:space="preserve"> Baseline clinical characteristics of elderly patients treated with </w:t>
      </w:r>
      <w:proofErr w:type="spellStart"/>
      <w:r w:rsidRPr="00A10BB1">
        <w:rPr>
          <w:rFonts w:ascii="Times New Roman" w:hAnsi="Times New Roman" w:cs="Times New Roman"/>
          <w:i/>
          <w:sz w:val="18"/>
        </w:rPr>
        <w:t>ticagrelor</w:t>
      </w:r>
      <w:proofErr w:type="spellEnd"/>
      <w:r w:rsidRPr="00A10BB1">
        <w:rPr>
          <w:rFonts w:ascii="Times New Roman" w:hAnsi="Times New Roman" w:cs="Times New Roman"/>
          <w:i/>
          <w:sz w:val="18"/>
        </w:rPr>
        <w:t>.</w:t>
      </w:r>
    </w:p>
    <w:p w:rsidR="00A10BB1" w:rsidRDefault="00A10BB1" w:rsidP="00A10BB1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37B12BBF" wp14:editId="22E80B1E">
            <wp:extent cx="3157855" cy="46393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55" cy="463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0BB1" w:rsidRDefault="00A10BB1" w:rsidP="00A10BB1">
      <w:pPr>
        <w:jc w:val="both"/>
        <w:rPr>
          <w:rFonts w:ascii="Times New Roman" w:hAnsi="Times New Roman" w:cs="Times New Roman"/>
          <w:sz w:val="20"/>
        </w:rPr>
      </w:pPr>
      <w:r w:rsidRPr="00A10BB1">
        <w:rPr>
          <w:rFonts w:ascii="Times New Roman" w:hAnsi="Times New Roman" w:cs="Times New Roman"/>
          <w:b/>
          <w:sz w:val="20"/>
        </w:rPr>
        <w:lastRenderedPageBreak/>
        <w:t>Results:</w:t>
      </w:r>
      <w:r w:rsidRPr="00A10BB1">
        <w:rPr>
          <w:rFonts w:ascii="Times New Roman" w:hAnsi="Times New Roman" w:cs="Times New Roman"/>
          <w:sz w:val="20"/>
        </w:rPr>
        <w:t xml:space="preserve"> A total of 383 patients with coronary artery disease were recruited in this study, with 39 cases (10.18%) diagnosed with stable coronary artery disease, 344 cases (89.82%) diagnosed w</w:t>
      </w:r>
      <w:r>
        <w:rPr>
          <w:rFonts w:ascii="Times New Roman" w:hAnsi="Times New Roman" w:cs="Times New Roman"/>
          <w:sz w:val="20"/>
        </w:rPr>
        <w:t>ith the acute coronary syndrome</w:t>
      </w:r>
      <w:r w:rsidRPr="00A10BB1">
        <w:rPr>
          <w:rFonts w:ascii="Times New Roman" w:hAnsi="Times New Roman" w:cs="Times New Roman"/>
          <w:sz w:val="20"/>
        </w:rPr>
        <w:t xml:space="preserve"> and 37 cases (9.66%) received PCI. The serum level of hemoglobin and ratio of used β-blockers and calcium ion channel blocking agents were significantly lower while the platelet count, incidence of type </w:t>
      </w:r>
      <w:proofErr w:type="gramStart"/>
      <w:r w:rsidRPr="00A10BB1">
        <w:rPr>
          <w:rFonts w:ascii="Times New Roman" w:hAnsi="Times New Roman" w:cs="Times New Roman"/>
          <w:sz w:val="20"/>
        </w:rPr>
        <w:t>2 diabetes</w:t>
      </w:r>
      <w:proofErr w:type="gramEnd"/>
      <w:r w:rsidRPr="00A10BB1">
        <w:rPr>
          <w:rFonts w:ascii="Times New Roman" w:hAnsi="Times New Roman" w:cs="Times New Roman"/>
          <w:sz w:val="20"/>
        </w:rPr>
        <w:t xml:space="preserve"> and ratio of used proton pump inhibitors were significantly higher in bleeding group than in bleeding free group. Among the eligible patients, 55 (14.36%) had BARC</w:t>
      </w:r>
      <w:r>
        <w:rPr>
          <w:rFonts w:ascii="Times New Roman" w:hAnsi="Times New Roman" w:cs="Times New Roman"/>
          <w:sz w:val="20"/>
        </w:rPr>
        <w:t xml:space="preserve"> </w:t>
      </w:r>
      <w:r w:rsidRPr="00A10BB1">
        <w:rPr>
          <w:rFonts w:ascii="Times New Roman" w:hAnsi="Times New Roman" w:cs="Times New Roman"/>
          <w:sz w:val="20"/>
        </w:rPr>
        <w:t>≥</w:t>
      </w:r>
      <w:r>
        <w:rPr>
          <w:rFonts w:ascii="Times New Roman" w:hAnsi="Times New Roman" w:cs="Times New Roman"/>
          <w:sz w:val="20"/>
        </w:rPr>
        <w:t xml:space="preserve"> </w:t>
      </w:r>
      <w:r w:rsidRPr="00A10BB1">
        <w:rPr>
          <w:rFonts w:ascii="Times New Roman" w:hAnsi="Times New Roman" w:cs="Times New Roman"/>
          <w:sz w:val="20"/>
        </w:rPr>
        <w:t>2 bleeding events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A10BB1">
        <w:rPr>
          <w:rFonts w:ascii="Times New Roman" w:hAnsi="Times New Roman" w:cs="Times New Roman"/>
          <w:sz w:val="20"/>
        </w:rPr>
        <w:t xml:space="preserve"> and 10 patients (2.61%) had BARC ≥</w:t>
      </w:r>
      <w:r>
        <w:rPr>
          <w:rFonts w:ascii="Times New Roman" w:hAnsi="Times New Roman" w:cs="Times New Roman"/>
          <w:sz w:val="20"/>
        </w:rPr>
        <w:t xml:space="preserve"> </w:t>
      </w:r>
      <w:r w:rsidRPr="00A10BB1">
        <w:rPr>
          <w:rFonts w:ascii="Times New Roman" w:hAnsi="Times New Roman" w:cs="Times New Roman"/>
          <w:sz w:val="20"/>
        </w:rPr>
        <w:t>3 bleeding events during a 1-year follow-up. Gastrointestinal bleeding was the most common bleeding event (47.27%, n=26). Multivariate regression analysis found that decreased hemo</w:t>
      </w:r>
      <w:r>
        <w:rPr>
          <w:rFonts w:ascii="Times New Roman" w:hAnsi="Times New Roman" w:cs="Times New Roman"/>
          <w:sz w:val="20"/>
        </w:rPr>
        <w:t>globin content (OR:0.98, 95% CI</w:t>
      </w:r>
      <w:r w:rsidRPr="00A10BB1">
        <w:rPr>
          <w:rFonts w:ascii="Times New Roman" w:hAnsi="Times New Roman" w:cs="Times New Roman"/>
          <w:sz w:val="20"/>
        </w:rPr>
        <w:t>:0.96-1.00</w:t>
      </w:r>
      <w:r>
        <w:rPr>
          <w:rFonts w:ascii="Times New Roman" w:hAnsi="Times New Roman" w:cs="Times New Roman"/>
          <w:sz w:val="20"/>
        </w:rPr>
        <w:t>, P=0.02), type 2 diabetes (OR:2.46, 95% CI:</w:t>
      </w:r>
      <w:r w:rsidRPr="00A10BB1">
        <w:rPr>
          <w:rFonts w:ascii="Times New Roman" w:hAnsi="Times New Roman" w:cs="Times New Roman"/>
          <w:sz w:val="20"/>
        </w:rPr>
        <w:t>1.29-4.69, P=0.01), application</w:t>
      </w:r>
      <w:r>
        <w:rPr>
          <w:rFonts w:ascii="Times New Roman" w:hAnsi="Times New Roman" w:cs="Times New Roman"/>
          <w:sz w:val="20"/>
        </w:rPr>
        <w:t xml:space="preserve"> of proton pump inhibitors (OR:</w:t>
      </w:r>
      <w:r w:rsidRPr="00A10BB1">
        <w:rPr>
          <w:rFonts w:ascii="Times New Roman" w:hAnsi="Times New Roman" w:cs="Times New Roman"/>
          <w:sz w:val="20"/>
        </w:rPr>
        <w:t>4.53, 95% CI:</w:t>
      </w:r>
      <w:r w:rsidRPr="00A10BB1">
        <w:rPr>
          <w:rFonts w:ascii="Times New Roman" w:hAnsi="Times New Roman" w:cs="Times New Roman"/>
          <w:sz w:val="20"/>
        </w:rPr>
        <w:t>1.62-12.72, P&lt;0.01) and</w:t>
      </w:r>
      <w:r>
        <w:rPr>
          <w:rFonts w:ascii="Times New Roman" w:hAnsi="Times New Roman" w:cs="Times New Roman"/>
          <w:sz w:val="20"/>
        </w:rPr>
        <w:t xml:space="preserve"> application of β-blockers (OR:0.42, 95% CI:</w:t>
      </w:r>
      <w:r w:rsidRPr="00A10BB1">
        <w:rPr>
          <w:rFonts w:ascii="Times New Roman" w:hAnsi="Times New Roman" w:cs="Times New Roman"/>
          <w:sz w:val="20"/>
        </w:rPr>
        <w:t>0.20-0.89, P=0.02) were independently associated with BARC ≥</w:t>
      </w:r>
      <w:r>
        <w:rPr>
          <w:rFonts w:ascii="Times New Roman" w:hAnsi="Times New Roman" w:cs="Times New Roman"/>
          <w:sz w:val="20"/>
        </w:rPr>
        <w:t xml:space="preserve"> </w:t>
      </w:r>
      <w:r w:rsidRPr="00A10BB1">
        <w:rPr>
          <w:rFonts w:ascii="Times New Roman" w:hAnsi="Times New Roman" w:cs="Times New Roman"/>
          <w:sz w:val="20"/>
        </w:rPr>
        <w:t>2 bleeding events</w:t>
      </w:r>
      <w:r>
        <w:rPr>
          <w:rFonts w:ascii="Times New Roman" w:hAnsi="Times New Roman" w:cs="Times New Roman"/>
          <w:sz w:val="20"/>
        </w:rPr>
        <w:t xml:space="preserve"> [Table 2]</w:t>
      </w:r>
      <w:r w:rsidRPr="00A10BB1">
        <w:rPr>
          <w:rFonts w:ascii="Times New Roman" w:hAnsi="Times New Roman" w:cs="Times New Roman"/>
          <w:sz w:val="20"/>
        </w:rPr>
        <w:t>.</w:t>
      </w:r>
    </w:p>
    <w:p w:rsidR="00A10BB1" w:rsidRDefault="00A10BB1" w:rsidP="00A10BB1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6249D088" wp14:editId="44D1D2F7">
            <wp:extent cx="3181985" cy="23056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2305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0BB1" w:rsidRDefault="00A10BB1" w:rsidP="00A10BB1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A10BB1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A10BB1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A10BB1">
        <w:rPr>
          <w:rFonts w:ascii="Times New Roman" w:hAnsi="Times New Roman" w:cs="Times New Roman"/>
          <w:i/>
          <w:sz w:val="18"/>
        </w:rPr>
        <w:t>Site of bleeding with Bleeding Academic Research Consortium (BARC) ≥ 2 bleeding events.</w:t>
      </w:r>
      <w:proofErr w:type="gramEnd"/>
    </w:p>
    <w:p w:rsidR="00A10BB1" w:rsidRDefault="00A10BB1" w:rsidP="00A10BB1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A10BB1">
        <w:rPr>
          <w:rFonts w:ascii="Times New Roman" w:hAnsi="Times New Roman" w:cs="Times New Roman"/>
          <w:b/>
          <w:i/>
          <w:sz w:val="18"/>
        </w:rPr>
        <w:t>Table 2.</w:t>
      </w:r>
      <w:proofErr w:type="gramEnd"/>
      <w:r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18"/>
        </w:rPr>
        <w:t>Effects of the related factors on the risk of bleeding events.</w:t>
      </w:r>
      <w:proofErr w:type="gramEnd"/>
    </w:p>
    <w:p w:rsidR="00A10BB1" w:rsidRDefault="00A10BB1" w:rsidP="00A10BB1">
      <w:pPr>
        <w:jc w:val="center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noProof/>
          <w:sz w:val="18"/>
        </w:rPr>
        <w:drawing>
          <wp:inline distT="0" distB="0" distL="0" distR="0" wp14:anchorId="6EF241E0" wp14:editId="5ED62702">
            <wp:extent cx="3091180" cy="25730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80" cy="257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0BB1" w:rsidRDefault="00A10BB1" w:rsidP="00A10BB1">
      <w:pPr>
        <w:jc w:val="both"/>
        <w:rPr>
          <w:rFonts w:ascii="Times New Roman" w:hAnsi="Times New Roman" w:cs="Times New Roman"/>
          <w:sz w:val="20"/>
        </w:rPr>
      </w:pPr>
      <w:r w:rsidRPr="00A10BB1">
        <w:rPr>
          <w:rFonts w:ascii="Times New Roman" w:hAnsi="Times New Roman" w:cs="Times New Roman"/>
          <w:b/>
          <w:sz w:val="20"/>
        </w:rPr>
        <w:t>Conclusions:</w:t>
      </w:r>
      <w:r>
        <w:rPr>
          <w:rFonts w:ascii="Times New Roman" w:hAnsi="Times New Roman" w:cs="Times New Roman"/>
          <w:sz w:val="20"/>
        </w:rPr>
        <w:t xml:space="preserve"> Hemoglobin, diabetes</w:t>
      </w:r>
      <w:r w:rsidRPr="00A10BB1">
        <w:rPr>
          <w:rFonts w:ascii="Times New Roman" w:hAnsi="Times New Roman" w:cs="Times New Roman"/>
          <w:sz w:val="20"/>
        </w:rPr>
        <w:t xml:space="preserve"> and concomitant medications are associated with the bleeding events in </w:t>
      </w:r>
      <w:proofErr w:type="spellStart"/>
      <w:r w:rsidRPr="00A10BB1">
        <w:rPr>
          <w:rFonts w:ascii="Times New Roman" w:hAnsi="Times New Roman" w:cs="Times New Roman"/>
          <w:sz w:val="20"/>
        </w:rPr>
        <w:t>ticagrelor</w:t>
      </w:r>
      <w:proofErr w:type="spellEnd"/>
      <w:r w:rsidRPr="00A10BB1">
        <w:rPr>
          <w:rFonts w:ascii="Times New Roman" w:hAnsi="Times New Roman" w:cs="Times New Roman"/>
          <w:sz w:val="20"/>
        </w:rPr>
        <w:t>-treated elderly patients with coronary artery disease.</w:t>
      </w:r>
    </w:p>
    <w:p w:rsidR="00A10BB1" w:rsidRPr="00A10BB1" w:rsidRDefault="00A10BB1" w:rsidP="00A10BB1">
      <w:pPr>
        <w:rPr>
          <w:rFonts w:ascii="Times New Roman" w:hAnsi="Times New Roman" w:cs="Times New Roman"/>
          <w:b/>
          <w:sz w:val="24"/>
        </w:rPr>
      </w:pPr>
      <w:r w:rsidRPr="00A10BB1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A10BB1" w:rsidRPr="00A10BB1" w:rsidRDefault="00A10BB1" w:rsidP="00A10BB1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A10BB1">
        <w:rPr>
          <w:rFonts w:ascii="Times New Roman" w:hAnsi="Times New Roman" w:cs="Times New Roman"/>
          <w:sz w:val="20"/>
        </w:rPr>
        <w:t>Shizhao</w:t>
      </w:r>
      <w:proofErr w:type="spellEnd"/>
      <w:r w:rsidRPr="00A10BB1">
        <w:rPr>
          <w:rFonts w:ascii="Times New Roman" w:hAnsi="Times New Roman" w:cs="Times New Roman"/>
          <w:sz w:val="20"/>
        </w:rPr>
        <w:t xml:space="preserve"> Zhang has his expertise in evaluation and passion in investigating precision medicine for elderly patients diagnosed with coronary artery disease. He has formulated individualized </w:t>
      </w:r>
      <w:proofErr w:type="spellStart"/>
      <w:r w:rsidRPr="00A10BB1">
        <w:rPr>
          <w:rFonts w:ascii="Times New Roman" w:hAnsi="Times New Roman" w:cs="Times New Roman"/>
          <w:sz w:val="20"/>
        </w:rPr>
        <w:t>polypharmacy</w:t>
      </w:r>
      <w:proofErr w:type="spellEnd"/>
      <w:r w:rsidRPr="00A10BB1">
        <w:rPr>
          <w:rFonts w:ascii="Times New Roman" w:hAnsi="Times New Roman" w:cs="Times New Roman"/>
          <w:sz w:val="20"/>
        </w:rPr>
        <w:t xml:space="preserve"> for elderly patients based on the effect of gene mutations, so as to prevent potential drug–drug–gene interactions and improve the clinical outcomes.</w:t>
      </w:r>
      <w:bookmarkEnd w:id="0"/>
    </w:p>
    <w:sectPr w:rsidR="00A10BB1" w:rsidRPr="00A10B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BB1"/>
    <w:rsid w:val="00474203"/>
    <w:rsid w:val="00535872"/>
    <w:rsid w:val="00924B33"/>
    <w:rsid w:val="00A1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0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B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0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B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2022-12-28T05:22:00Z</dcterms:created>
  <dcterms:modified xsi:type="dcterms:W3CDTF">2022-12-28T05:35:00Z</dcterms:modified>
</cp:coreProperties>
</file>