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75DD7">
      <w:pPr>
        <w:rPr>
          <w:rFonts w:ascii="Times New Roman" w:hAnsi="Times New Roman" w:cs="Times New Roman"/>
          <w:b/>
          <w:sz w:val="32"/>
        </w:rPr>
      </w:pPr>
      <w:bookmarkStart w:id="0" w:name="_GoBack"/>
      <w:r w:rsidRPr="00675DD7">
        <w:rPr>
          <w:rFonts w:ascii="Times New Roman" w:hAnsi="Times New Roman" w:cs="Times New Roman"/>
          <w:b/>
          <w:sz w:val="32"/>
        </w:rPr>
        <w:t>Clinical risk factors analysis of large-volume contralateral central lymph node metastasis of unilateral papillary thyroid carcinoma</w:t>
      </w:r>
    </w:p>
    <w:p w:rsidR="00675DD7" w:rsidRDefault="00675DD7">
      <w:pPr>
        <w:rPr>
          <w:rFonts w:ascii="Times New Roman" w:hAnsi="Times New Roman" w:cs="Times New Roman"/>
          <w:sz w:val="24"/>
        </w:rPr>
      </w:pPr>
      <w:r w:rsidRPr="00675DD7">
        <w:rPr>
          <w:rFonts w:ascii="Times New Roman" w:hAnsi="Times New Roman" w:cs="Times New Roman"/>
          <w:sz w:val="24"/>
        </w:rPr>
        <w:t>Yu Zhang</w:t>
      </w:r>
    </w:p>
    <w:p w:rsidR="00675DD7" w:rsidRPr="00675DD7" w:rsidRDefault="00675DD7">
      <w:pPr>
        <w:rPr>
          <w:rFonts w:ascii="Times New Roman" w:hAnsi="Times New Roman" w:cs="Times New Roman"/>
        </w:rPr>
      </w:pPr>
      <w:r w:rsidRPr="00675DD7">
        <w:rPr>
          <w:rFonts w:ascii="Times New Roman" w:hAnsi="Times New Roman" w:cs="Times New Roman"/>
        </w:rPr>
        <w:t>Zhejiang University School of Medicine, China</w:t>
      </w:r>
    </w:p>
    <w:p w:rsidR="00675DD7" w:rsidRPr="00675DD7" w:rsidRDefault="00675DD7" w:rsidP="00675DD7">
      <w:pPr>
        <w:jc w:val="center"/>
        <w:rPr>
          <w:rFonts w:ascii="Times New Roman" w:hAnsi="Times New Roman" w:cs="Times New Roman"/>
          <w:b/>
          <w:sz w:val="24"/>
        </w:rPr>
      </w:pPr>
      <w:r w:rsidRPr="00675DD7">
        <w:rPr>
          <w:rFonts w:ascii="Times New Roman" w:hAnsi="Times New Roman" w:cs="Times New Roman"/>
          <w:b/>
          <w:sz w:val="24"/>
        </w:rPr>
        <w:t>Abstract</w:t>
      </w:r>
    </w:p>
    <w:p w:rsidR="00675DD7" w:rsidRPr="00675DD7" w:rsidRDefault="00675DD7" w:rsidP="00675DD7">
      <w:pPr>
        <w:jc w:val="both"/>
        <w:rPr>
          <w:rFonts w:ascii="Times New Roman" w:hAnsi="Times New Roman" w:cs="Times New Roman"/>
          <w:sz w:val="20"/>
        </w:rPr>
      </w:pPr>
      <w:r w:rsidRPr="00675DD7">
        <w:rPr>
          <w:rFonts w:ascii="Times New Roman" w:hAnsi="Times New Roman" w:cs="Times New Roman"/>
          <w:b/>
          <w:sz w:val="20"/>
        </w:rPr>
        <w:t>Objective:</w:t>
      </w:r>
      <w:r w:rsidRPr="00675DD7">
        <w:rPr>
          <w:rFonts w:ascii="Times New Roman" w:hAnsi="Times New Roman" w:cs="Times New Roman"/>
          <w:sz w:val="20"/>
        </w:rPr>
        <w:t xml:space="preserve"> To explore the clinical significance high risk clinical factors in predicting Large-Volume </w:t>
      </w:r>
      <w:r w:rsidRPr="00675DD7">
        <w:rPr>
          <w:rFonts w:ascii="Times New Roman" w:hAnsi="Times New Roman" w:cs="Times New Roman"/>
          <w:sz w:val="20"/>
        </w:rPr>
        <w:t xml:space="preserve">Contralateral Central Lymph Node Metastasis </w:t>
      </w:r>
      <w:r w:rsidRPr="00675DD7">
        <w:rPr>
          <w:rFonts w:ascii="Times New Roman" w:hAnsi="Times New Roman" w:cs="Times New Roman"/>
          <w:sz w:val="20"/>
        </w:rPr>
        <w:t xml:space="preserve">(CCLNM) of unilateral </w:t>
      </w:r>
      <w:r w:rsidRPr="00675DD7">
        <w:rPr>
          <w:rFonts w:ascii="Times New Roman" w:hAnsi="Times New Roman" w:cs="Times New Roman"/>
          <w:sz w:val="20"/>
        </w:rPr>
        <w:t xml:space="preserve">Thyroid Papillary Carcinoma </w:t>
      </w:r>
      <w:r w:rsidRPr="00675DD7">
        <w:rPr>
          <w:rFonts w:ascii="Times New Roman" w:hAnsi="Times New Roman" w:cs="Times New Roman"/>
          <w:sz w:val="20"/>
        </w:rPr>
        <w:t>(</w:t>
      </w:r>
      <w:proofErr w:type="spellStart"/>
      <w:r w:rsidRPr="00675DD7">
        <w:rPr>
          <w:rFonts w:ascii="Times New Roman" w:hAnsi="Times New Roman" w:cs="Times New Roman"/>
          <w:sz w:val="20"/>
        </w:rPr>
        <w:t>uPTC</w:t>
      </w:r>
      <w:proofErr w:type="spellEnd"/>
      <w:r w:rsidRPr="00675DD7">
        <w:rPr>
          <w:rFonts w:ascii="Times New Roman" w:hAnsi="Times New Roman" w:cs="Times New Roman"/>
          <w:sz w:val="20"/>
        </w:rPr>
        <w:t xml:space="preserve">) and to explore the indications of </w:t>
      </w:r>
      <w:proofErr w:type="spellStart"/>
      <w:r w:rsidRPr="00675DD7">
        <w:rPr>
          <w:rFonts w:ascii="Times New Roman" w:hAnsi="Times New Roman" w:cs="Times New Roman"/>
          <w:sz w:val="20"/>
        </w:rPr>
        <w:t>Cont</w:t>
      </w:r>
      <w:proofErr w:type="spellEnd"/>
      <w:r>
        <w:rPr>
          <w:rFonts w:ascii="Times New Roman" w:hAnsi="Times New Roman" w:cs="Times New Roman"/>
          <w:sz w:val="20"/>
        </w:rPr>
        <w:t xml:space="preserve"> </w:t>
      </w:r>
      <w:r w:rsidRPr="00675DD7">
        <w:rPr>
          <w:rFonts w:ascii="Times New Roman" w:hAnsi="Times New Roman" w:cs="Times New Roman"/>
          <w:sz w:val="20"/>
        </w:rPr>
        <w:t>CLNs dissection.</w:t>
      </w:r>
    </w:p>
    <w:p w:rsidR="00675DD7" w:rsidRPr="00675DD7" w:rsidRDefault="00675DD7" w:rsidP="00675DD7">
      <w:pPr>
        <w:jc w:val="both"/>
        <w:rPr>
          <w:rFonts w:ascii="Times New Roman" w:hAnsi="Times New Roman" w:cs="Times New Roman"/>
          <w:sz w:val="20"/>
        </w:rPr>
      </w:pPr>
      <w:r w:rsidRPr="00675DD7">
        <w:rPr>
          <w:rFonts w:ascii="Times New Roman" w:hAnsi="Times New Roman" w:cs="Times New Roman"/>
          <w:b/>
          <w:sz w:val="20"/>
        </w:rPr>
        <w:t>Methods:</w:t>
      </w:r>
      <w:r w:rsidRPr="00675DD7">
        <w:rPr>
          <w:rFonts w:ascii="Times New Roman" w:hAnsi="Times New Roman" w:cs="Times New Roman"/>
          <w:sz w:val="20"/>
        </w:rPr>
        <w:t xml:space="preserve"> The pathological data of 259 patients that underwent thyroid surgery at affiliated Hangzhou First People’s Hospital Zhejiang University School of Medicine from January 2013 to October 2022 were collected and randomized into training and validation cohorts (7:3). </w:t>
      </w:r>
      <w:proofErr w:type="spellStart"/>
      <w:r w:rsidRPr="00675DD7">
        <w:rPr>
          <w:rFonts w:ascii="Times New Roman" w:hAnsi="Times New Roman" w:cs="Times New Roman"/>
          <w:sz w:val="20"/>
        </w:rPr>
        <w:t>Univariate</w:t>
      </w:r>
      <w:proofErr w:type="spellEnd"/>
      <w:r w:rsidRPr="00675DD7">
        <w:rPr>
          <w:rFonts w:ascii="Times New Roman" w:hAnsi="Times New Roman" w:cs="Times New Roman"/>
          <w:sz w:val="20"/>
        </w:rPr>
        <w:t xml:space="preserve"> and multivariate logistic regression analyses were used to determine the independent risk factors of CCLNM and Large-Volume CCLNM in PTC patients. Forest plot was plotted to visualize the prediction factors from the output of the multivariate regression analysis. A predictive </w:t>
      </w:r>
      <w:proofErr w:type="spellStart"/>
      <w:r w:rsidRPr="00675DD7">
        <w:rPr>
          <w:rFonts w:ascii="Times New Roman" w:hAnsi="Times New Roman" w:cs="Times New Roman"/>
          <w:sz w:val="20"/>
        </w:rPr>
        <w:t>nomogram</w:t>
      </w:r>
      <w:proofErr w:type="spellEnd"/>
      <w:r w:rsidRPr="00675DD7">
        <w:rPr>
          <w:rFonts w:ascii="Times New Roman" w:hAnsi="Times New Roman" w:cs="Times New Roman"/>
          <w:sz w:val="20"/>
        </w:rPr>
        <w:t xml:space="preserve"> for predicting CCLNM and Large-Volume CCLNM were constructed by logistic regression and validated by ROC curves, </w:t>
      </w:r>
      <w:r w:rsidRPr="00675DD7">
        <w:rPr>
          <w:rFonts w:ascii="Times New Roman" w:hAnsi="Times New Roman" w:cs="Times New Roman"/>
          <w:sz w:val="20"/>
        </w:rPr>
        <w:t xml:space="preserve">Concordance </w:t>
      </w:r>
      <w:r w:rsidRPr="00675DD7">
        <w:rPr>
          <w:rFonts w:ascii="Times New Roman" w:hAnsi="Times New Roman" w:cs="Times New Roman"/>
          <w:sz w:val="20"/>
        </w:rPr>
        <w:t>ind</w:t>
      </w:r>
      <w:r>
        <w:rPr>
          <w:rFonts w:ascii="Times New Roman" w:hAnsi="Times New Roman" w:cs="Times New Roman"/>
          <w:sz w:val="20"/>
        </w:rPr>
        <w:t>ex (C-index), calibration curve</w:t>
      </w:r>
      <w:r w:rsidRPr="00675DD7">
        <w:rPr>
          <w:rFonts w:ascii="Times New Roman" w:hAnsi="Times New Roman" w:cs="Times New Roman"/>
          <w:sz w:val="20"/>
        </w:rPr>
        <w:t xml:space="preserve"> and </w:t>
      </w:r>
      <w:r w:rsidRPr="00675DD7">
        <w:rPr>
          <w:rFonts w:ascii="Times New Roman" w:hAnsi="Times New Roman" w:cs="Times New Roman"/>
          <w:sz w:val="20"/>
        </w:rPr>
        <w:t xml:space="preserve">Decision Curve Analyses </w:t>
      </w:r>
      <w:r w:rsidRPr="00675DD7">
        <w:rPr>
          <w:rFonts w:ascii="Times New Roman" w:hAnsi="Times New Roman" w:cs="Times New Roman"/>
          <w:sz w:val="20"/>
        </w:rPr>
        <w:t>(DCA). The existing data were compared with the original model.</w:t>
      </w:r>
    </w:p>
    <w:p w:rsidR="00675DD7" w:rsidRDefault="00675DD7" w:rsidP="00675DD7">
      <w:pPr>
        <w:jc w:val="both"/>
        <w:rPr>
          <w:rFonts w:ascii="Times New Roman" w:hAnsi="Times New Roman" w:cs="Times New Roman"/>
          <w:sz w:val="20"/>
        </w:rPr>
      </w:pPr>
      <w:r w:rsidRPr="00675DD7">
        <w:rPr>
          <w:rFonts w:ascii="Times New Roman" w:hAnsi="Times New Roman" w:cs="Times New Roman"/>
          <w:b/>
          <w:sz w:val="20"/>
        </w:rPr>
        <w:t>Results:</w:t>
      </w:r>
      <w:r w:rsidR="00DA7CFF">
        <w:rPr>
          <w:rFonts w:ascii="Times New Roman" w:hAnsi="Times New Roman" w:cs="Times New Roman"/>
          <w:sz w:val="20"/>
        </w:rPr>
        <w:t xml:space="preserve"> </w:t>
      </w:r>
      <w:r w:rsidRPr="00675DD7">
        <w:rPr>
          <w:rFonts w:ascii="Times New Roman" w:hAnsi="Times New Roman" w:cs="Times New Roman"/>
          <w:sz w:val="20"/>
        </w:rPr>
        <w:t xml:space="preserve">According to </w:t>
      </w:r>
      <w:proofErr w:type="spellStart"/>
      <w:r w:rsidRPr="00675DD7">
        <w:rPr>
          <w:rFonts w:ascii="Times New Roman" w:hAnsi="Times New Roman" w:cs="Times New Roman"/>
          <w:sz w:val="20"/>
        </w:rPr>
        <w:t>univariate</w:t>
      </w:r>
      <w:proofErr w:type="spellEnd"/>
      <w:r w:rsidRPr="00675DD7">
        <w:rPr>
          <w:rFonts w:ascii="Times New Roman" w:hAnsi="Times New Roman" w:cs="Times New Roman"/>
          <w:sz w:val="20"/>
        </w:rPr>
        <w:t xml:space="preserve"> and multivariate logistic regression analyses, male</w:t>
      </w:r>
      <w:r>
        <w:rPr>
          <w:rFonts w:ascii="Times New Roman" w:hAnsi="Times New Roman" w:cs="Times New Roman"/>
          <w:sz w:val="20"/>
        </w:rPr>
        <w:t xml:space="preserve"> (P&lt;</w:t>
      </w:r>
      <w:r w:rsidRPr="00675DD7">
        <w:rPr>
          <w:rFonts w:ascii="Times New Roman" w:hAnsi="Times New Roman" w:cs="Times New Roman"/>
          <w:sz w:val="20"/>
        </w:rPr>
        <w:t>0.001,</w:t>
      </w:r>
      <w:r>
        <w:rPr>
          <w:rFonts w:ascii="Times New Roman" w:hAnsi="Times New Roman" w:cs="Times New Roman"/>
          <w:sz w:val="20"/>
        </w:rPr>
        <w:t xml:space="preserve"> OR: 8.168, 95% CI:2.617-25.491) </w:t>
      </w:r>
      <w:r w:rsidRPr="00675DD7">
        <w:rPr>
          <w:rFonts w:ascii="Times New Roman" w:hAnsi="Times New Roman" w:cs="Times New Roman"/>
          <w:sz w:val="20"/>
        </w:rPr>
        <w:t>age</w:t>
      </w:r>
      <w:r>
        <w:rPr>
          <w:rFonts w:ascii="Times New Roman" w:hAnsi="Times New Roman" w:cs="Times New Roman"/>
          <w:sz w:val="20"/>
        </w:rPr>
        <w:t xml:space="preserve"> </w:t>
      </w:r>
      <w:r w:rsidRPr="00675DD7">
        <w:rPr>
          <w:rFonts w:ascii="Times New Roman" w:hAnsi="Times New Roman" w:cs="Times New Roman"/>
          <w:sz w:val="20"/>
        </w:rPr>
        <w:t>(P=0.011, OR: 0.948, 95% CI: 0.910-0.988)</w:t>
      </w:r>
      <w:r>
        <w:rPr>
          <w:rFonts w:ascii="Times New Roman" w:hAnsi="Times New Roman" w:cs="Times New Roman"/>
          <w:sz w:val="20"/>
        </w:rPr>
        <w:t xml:space="preserve"> capsule invasion (P</w:t>
      </w:r>
      <w:r w:rsidRPr="00675DD7">
        <w:rPr>
          <w:rFonts w:ascii="Times New Roman" w:hAnsi="Times New Roman" w:cs="Times New Roman"/>
          <w:sz w:val="20"/>
        </w:rPr>
        <w:t xml:space="preserve">=0.049, </w:t>
      </w:r>
      <w:r w:rsidR="00DA7CFF">
        <w:rPr>
          <w:rFonts w:ascii="Times New Roman" w:hAnsi="Times New Roman" w:cs="Times New Roman"/>
          <w:sz w:val="20"/>
        </w:rPr>
        <w:t>OR: 2.727, 95% CI: 1.003–7.412)</w:t>
      </w:r>
      <w:r w:rsidRPr="00675DD7">
        <w:rPr>
          <w:rFonts w:ascii="Times New Roman" w:hAnsi="Times New Roman" w:cs="Times New Roman"/>
          <w:sz w:val="20"/>
        </w:rPr>
        <w:t>, lateral lymph node metastasis</w:t>
      </w:r>
      <w:r>
        <w:rPr>
          <w:rFonts w:ascii="Times New Roman" w:hAnsi="Times New Roman" w:cs="Times New Roman"/>
          <w:sz w:val="20"/>
        </w:rPr>
        <w:t xml:space="preserve"> (P=</w:t>
      </w:r>
      <w:r w:rsidRPr="00675DD7">
        <w:rPr>
          <w:rFonts w:ascii="Times New Roman" w:hAnsi="Times New Roman" w:cs="Times New Roman"/>
          <w:sz w:val="20"/>
        </w:rPr>
        <w:t>0.003, OR: 5.110, 95% CI: 1.758–14.854) and tumor located in the lower pole</w:t>
      </w:r>
      <w:r>
        <w:rPr>
          <w:rFonts w:ascii="Times New Roman" w:hAnsi="Times New Roman" w:cs="Times New Roman"/>
          <w:sz w:val="20"/>
        </w:rPr>
        <w:t xml:space="preserve"> (P=</w:t>
      </w:r>
      <w:r w:rsidRPr="00675DD7">
        <w:rPr>
          <w:rFonts w:ascii="Times New Roman" w:hAnsi="Times New Roman" w:cs="Times New Roman"/>
          <w:sz w:val="20"/>
        </w:rPr>
        <w:t>0.035, OR: 2.972, 95%</w:t>
      </w:r>
      <w:r>
        <w:rPr>
          <w:rFonts w:ascii="Times New Roman" w:hAnsi="Times New Roman" w:cs="Times New Roman"/>
          <w:sz w:val="20"/>
        </w:rPr>
        <w:t xml:space="preserve"> </w:t>
      </w:r>
      <w:r w:rsidRPr="00675DD7">
        <w:rPr>
          <w:rFonts w:ascii="Times New Roman" w:hAnsi="Times New Roman" w:cs="Times New Roman"/>
          <w:sz w:val="20"/>
        </w:rPr>
        <w:t xml:space="preserve">CI: 1.083–8.158) were independent risk factors of Large-Volume CCLNM in PTC patients; When the </w:t>
      </w:r>
      <w:proofErr w:type="spellStart"/>
      <w:r w:rsidRPr="00675DD7">
        <w:rPr>
          <w:rFonts w:ascii="Times New Roman" w:hAnsi="Times New Roman" w:cs="Times New Roman"/>
          <w:sz w:val="20"/>
        </w:rPr>
        <w:t>Youden</w:t>
      </w:r>
      <w:proofErr w:type="spellEnd"/>
      <w:r w:rsidRPr="00675DD7">
        <w:rPr>
          <w:rFonts w:ascii="Times New Roman" w:hAnsi="Times New Roman" w:cs="Times New Roman"/>
          <w:sz w:val="20"/>
        </w:rPr>
        <w:t xml:space="preserve"> index was the highest, the </w:t>
      </w:r>
      <w:r w:rsidRPr="00675DD7">
        <w:rPr>
          <w:rFonts w:ascii="Times New Roman" w:hAnsi="Times New Roman" w:cs="Times New Roman"/>
          <w:sz w:val="20"/>
        </w:rPr>
        <w:t xml:space="preserve">Area Under </w:t>
      </w:r>
      <w:r w:rsidRPr="00675DD7">
        <w:rPr>
          <w:rFonts w:ascii="Times New Roman" w:hAnsi="Times New Roman" w:cs="Times New Roman"/>
          <w:sz w:val="20"/>
        </w:rPr>
        <w:t xml:space="preserve">the </w:t>
      </w:r>
      <w:r w:rsidRPr="00675DD7">
        <w:rPr>
          <w:rFonts w:ascii="Times New Roman" w:hAnsi="Times New Roman" w:cs="Times New Roman"/>
          <w:sz w:val="20"/>
        </w:rPr>
        <w:t xml:space="preserve">Curve </w:t>
      </w:r>
      <w:r>
        <w:rPr>
          <w:rFonts w:ascii="Times New Roman" w:hAnsi="Times New Roman" w:cs="Times New Roman"/>
          <w:sz w:val="20"/>
        </w:rPr>
        <w:t>(AUC) was 0.856 (P&lt;</w:t>
      </w:r>
      <w:r w:rsidRPr="00675DD7">
        <w:rPr>
          <w:rFonts w:ascii="Times New Roman" w:hAnsi="Times New Roman" w:cs="Times New Roman"/>
          <w:sz w:val="20"/>
        </w:rPr>
        <w:t>0.001, 95% CI: 0.764–0.948). The extern</w:t>
      </w:r>
      <w:r>
        <w:rPr>
          <w:rFonts w:ascii="Times New Roman" w:hAnsi="Times New Roman" w:cs="Times New Roman"/>
          <w:sz w:val="20"/>
        </w:rPr>
        <w:t>ally validated AUC was 0.780 (P&lt;</w:t>
      </w:r>
      <w:r w:rsidRPr="00675DD7">
        <w:rPr>
          <w:rFonts w:ascii="Times New Roman" w:hAnsi="Times New Roman" w:cs="Times New Roman"/>
          <w:sz w:val="20"/>
        </w:rPr>
        <w:t>0.001, 95% CI: 0.587–0.9</w:t>
      </w:r>
      <w:r>
        <w:rPr>
          <w:rFonts w:ascii="Times New Roman" w:hAnsi="Times New Roman" w:cs="Times New Roman"/>
          <w:sz w:val="20"/>
        </w:rPr>
        <w:t>72). The specificity was 87.60%</w:t>
      </w:r>
      <w:r w:rsidRPr="00675DD7">
        <w:rPr>
          <w:rFonts w:ascii="Times New Roman" w:hAnsi="Times New Roman" w:cs="Times New Roman"/>
          <w:sz w:val="20"/>
        </w:rPr>
        <w:t xml:space="preserve"> and the sensitivity was 76.70%. The calibration curve and the decision curve indicated that the model had good diagnostic value. The C-indexes in the training and the external validation data sets were 0.836 and 0.849, respectively</w:t>
      </w:r>
      <w:r w:rsidR="00DA7CFF">
        <w:rPr>
          <w:rFonts w:ascii="Times New Roman" w:hAnsi="Times New Roman" w:cs="Times New Roman"/>
          <w:sz w:val="20"/>
        </w:rPr>
        <w:t xml:space="preserve"> [Figure 1]</w:t>
      </w:r>
      <w:r w:rsidRPr="00675DD7">
        <w:rPr>
          <w:rFonts w:ascii="Times New Roman" w:hAnsi="Times New Roman" w:cs="Times New Roman"/>
          <w:sz w:val="20"/>
        </w:rPr>
        <w:t>.</w:t>
      </w:r>
    </w:p>
    <w:p w:rsidR="00675DD7" w:rsidRDefault="00675DD7" w:rsidP="00675DD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A7B46AF" wp14:editId="56537799">
            <wp:extent cx="2883535" cy="2420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83535" cy="2420620"/>
                    </a:xfrm>
                    <a:prstGeom prst="rect">
                      <a:avLst/>
                    </a:prstGeom>
                    <a:noFill/>
                  </pic:spPr>
                </pic:pic>
              </a:graphicData>
            </a:graphic>
          </wp:inline>
        </w:drawing>
      </w:r>
    </w:p>
    <w:p w:rsidR="00675DD7" w:rsidRPr="00675DD7" w:rsidRDefault="00675DD7" w:rsidP="00675DD7">
      <w:pPr>
        <w:jc w:val="center"/>
        <w:rPr>
          <w:rFonts w:ascii="Times New Roman" w:hAnsi="Times New Roman" w:cs="Times New Roman"/>
          <w:i/>
          <w:sz w:val="18"/>
        </w:rPr>
      </w:pPr>
      <w:proofErr w:type="gramStart"/>
      <w:r w:rsidRPr="00675DD7">
        <w:rPr>
          <w:rFonts w:ascii="Times New Roman" w:hAnsi="Times New Roman" w:cs="Times New Roman"/>
          <w:b/>
          <w:i/>
          <w:sz w:val="18"/>
        </w:rPr>
        <w:t>Figure 1.</w:t>
      </w:r>
      <w:proofErr w:type="gramEnd"/>
      <w:r w:rsidRPr="00675DD7">
        <w:rPr>
          <w:rFonts w:ascii="Times New Roman" w:hAnsi="Times New Roman" w:cs="Times New Roman"/>
          <w:i/>
          <w:sz w:val="18"/>
        </w:rPr>
        <w:t xml:space="preserve"> </w:t>
      </w:r>
      <w:proofErr w:type="gramStart"/>
      <w:r w:rsidRPr="00675DD7">
        <w:rPr>
          <w:rFonts w:ascii="Times New Roman" w:hAnsi="Times New Roman" w:cs="Times New Roman"/>
          <w:i/>
          <w:sz w:val="18"/>
        </w:rPr>
        <w:t>Clinical predictive model of large-volume contralateral central lymph node metastasis in papillary thyroid carcinoma patients.</w:t>
      </w:r>
      <w:proofErr w:type="gramEnd"/>
    </w:p>
    <w:p w:rsidR="00675DD7" w:rsidRDefault="00675DD7" w:rsidP="00675DD7">
      <w:pPr>
        <w:jc w:val="both"/>
        <w:rPr>
          <w:rFonts w:ascii="Times New Roman" w:hAnsi="Times New Roman" w:cs="Times New Roman"/>
          <w:sz w:val="20"/>
        </w:rPr>
      </w:pPr>
      <w:r w:rsidRPr="00675DD7">
        <w:rPr>
          <w:rFonts w:ascii="Times New Roman" w:hAnsi="Times New Roman" w:cs="Times New Roman"/>
          <w:b/>
          <w:sz w:val="20"/>
        </w:rPr>
        <w:lastRenderedPageBreak/>
        <w:t>Conclusion:</w:t>
      </w:r>
      <w:r w:rsidRPr="00675DD7">
        <w:rPr>
          <w:rFonts w:ascii="Times New Roman" w:hAnsi="Times New Roman" w:cs="Times New Roman"/>
          <w:sz w:val="20"/>
        </w:rPr>
        <w:t xml:space="preserve"> When male, age&lt;45 years old, lateral neck lymph node metastasis, capsule invasion and lesion location at the lower pole are the high risk factors for LV-CCLNM in </w:t>
      </w:r>
      <w:proofErr w:type="spellStart"/>
      <w:r w:rsidRPr="00675DD7">
        <w:rPr>
          <w:rFonts w:ascii="Times New Roman" w:hAnsi="Times New Roman" w:cs="Times New Roman"/>
          <w:sz w:val="20"/>
        </w:rPr>
        <w:t>uPTC</w:t>
      </w:r>
      <w:proofErr w:type="spellEnd"/>
      <w:r w:rsidRPr="00675DD7">
        <w:rPr>
          <w:rFonts w:ascii="Times New Roman" w:hAnsi="Times New Roman" w:cs="Times New Roman"/>
          <w:sz w:val="20"/>
        </w:rPr>
        <w:t>. It is strongly recommended to perform preventive contralateral central lymph node dissection.</w:t>
      </w:r>
    </w:p>
    <w:p w:rsidR="00675DD7" w:rsidRPr="00DA7CFF" w:rsidRDefault="00DA7CFF">
      <w:pPr>
        <w:rPr>
          <w:rFonts w:ascii="Times New Roman" w:hAnsi="Times New Roman" w:cs="Times New Roman"/>
          <w:b/>
          <w:sz w:val="24"/>
        </w:rPr>
      </w:pPr>
      <w:r w:rsidRPr="00DA7CFF">
        <w:rPr>
          <w:rFonts w:ascii="Times New Roman" w:hAnsi="Times New Roman" w:cs="Times New Roman"/>
          <w:b/>
          <w:sz w:val="24"/>
        </w:rPr>
        <w:t>Biography</w:t>
      </w:r>
    </w:p>
    <w:p w:rsidR="00DA7CFF" w:rsidRPr="00DA7CFF" w:rsidRDefault="00DA7CFF" w:rsidP="00DA7CFF">
      <w:pPr>
        <w:jc w:val="both"/>
        <w:rPr>
          <w:rFonts w:ascii="Times New Roman" w:hAnsi="Times New Roman" w:cs="Times New Roman"/>
          <w:sz w:val="20"/>
        </w:rPr>
      </w:pPr>
      <w:r w:rsidRPr="00DA7CFF">
        <w:rPr>
          <w:rFonts w:ascii="Times New Roman" w:hAnsi="Times New Roman" w:cs="Times New Roman"/>
          <w:sz w:val="20"/>
        </w:rPr>
        <w:t>Yu Zhang's research focuses on the clinical and molecular pathogenesis of thyroid tumors, parathyroid diseases, breast tumors, etc. So far, he has been engaged in clinical diagnosis, treatment, scientific research, teaching and science popularization of common tumor diseases, especially the diagnosis, treatment and research of thyroid tumors. He has strong clinical diagnosis, treatment and scientific research capabilities. He has now participated in a number of scientific research projects at the provincial,</w:t>
      </w:r>
      <w:r w:rsidR="009953C2">
        <w:rPr>
          <w:rFonts w:ascii="Times New Roman" w:hAnsi="Times New Roman" w:cs="Times New Roman"/>
          <w:sz w:val="20"/>
        </w:rPr>
        <w:t xml:space="preserve"> departmental and bureau levels</w:t>
      </w:r>
      <w:r w:rsidRPr="00DA7CFF">
        <w:rPr>
          <w:rFonts w:ascii="Times New Roman" w:hAnsi="Times New Roman" w:cs="Times New Roman"/>
          <w:sz w:val="20"/>
        </w:rPr>
        <w:t xml:space="preserve"> and issued nearly 10 scientific research papers (including 6 SCI) as the first author.</w:t>
      </w:r>
      <w:bookmarkEnd w:id="0"/>
    </w:p>
    <w:sectPr w:rsidR="00DA7CFF" w:rsidRPr="00DA7C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DD7"/>
    <w:rsid w:val="00474203"/>
    <w:rsid w:val="00535872"/>
    <w:rsid w:val="00675DD7"/>
    <w:rsid w:val="00924B33"/>
    <w:rsid w:val="009953C2"/>
    <w:rsid w:val="00DA7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5D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D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5D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D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2023-01-07T05:43:00Z</dcterms:created>
  <dcterms:modified xsi:type="dcterms:W3CDTF">2023-01-07T06:05:00Z</dcterms:modified>
</cp:coreProperties>
</file>