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6103F">
      <w:pPr>
        <w:rPr>
          <w:rFonts w:ascii="Times New Roman" w:hAnsi="Times New Roman" w:cs="Times New Roman"/>
          <w:b/>
          <w:sz w:val="32"/>
        </w:rPr>
      </w:pPr>
      <w:bookmarkStart w:id="0" w:name="_GoBack"/>
      <w:r w:rsidRPr="00A6103F">
        <w:rPr>
          <w:rFonts w:ascii="Times New Roman" w:hAnsi="Times New Roman" w:cs="Times New Roman"/>
          <w:b/>
          <w:sz w:val="32"/>
        </w:rPr>
        <w:t xml:space="preserve">Insights into modifiable risk factors of infertility: A </w:t>
      </w:r>
      <w:proofErr w:type="spellStart"/>
      <w:r w:rsidRPr="00A6103F">
        <w:rPr>
          <w:rFonts w:ascii="Times New Roman" w:hAnsi="Times New Roman" w:cs="Times New Roman"/>
          <w:b/>
          <w:sz w:val="32"/>
        </w:rPr>
        <w:t>Mendelian</w:t>
      </w:r>
      <w:proofErr w:type="spellEnd"/>
      <w:r w:rsidRPr="00A6103F">
        <w:rPr>
          <w:rFonts w:ascii="Times New Roman" w:hAnsi="Times New Roman" w:cs="Times New Roman"/>
          <w:b/>
          <w:sz w:val="32"/>
        </w:rPr>
        <w:t xml:space="preserve"> randomization study  </w:t>
      </w:r>
    </w:p>
    <w:p w:rsidR="00A6103F" w:rsidRDefault="00A6103F">
      <w:pPr>
        <w:rPr>
          <w:rFonts w:ascii="Times New Roman" w:hAnsi="Times New Roman" w:cs="Times New Roman"/>
          <w:sz w:val="24"/>
        </w:rPr>
      </w:pPr>
      <w:proofErr w:type="spellStart"/>
      <w:r w:rsidRPr="00A6103F">
        <w:rPr>
          <w:rFonts w:ascii="Times New Roman" w:hAnsi="Times New Roman" w:cs="Times New Roman"/>
          <w:sz w:val="24"/>
        </w:rPr>
        <w:t>Yueyuan</w:t>
      </w:r>
      <w:proofErr w:type="spellEnd"/>
      <w:r w:rsidRPr="00A6103F">
        <w:rPr>
          <w:rFonts w:ascii="Times New Roman" w:hAnsi="Times New Roman" w:cs="Times New Roman"/>
          <w:sz w:val="24"/>
        </w:rPr>
        <w:t xml:space="preserve"> You</w:t>
      </w:r>
    </w:p>
    <w:p w:rsidR="00A6103F" w:rsidRPr="00A6103F" w:rsidRDefault="00A6103F">
      <w:pPr>
        <w:rPr>
          <w:rFonts w:ascii="Times New Roman" w:hAnsi="Times New Roman" w:cs="Times New Roman"/>
        </w:rPr>
      </w:pPr>
      <w:r w:rsidRPr="00A6103F">
        <w:rPr>
          <w:rFonts w:ascii="Times New Roman" w:hAnsi="Times New Roman" w:cs="Times New Roman"/>
        </w:rPr>
        <w:t>Sichuan University, China</w:t>
      </w:r>
    </w:p>
    <w:p w:rsidR="00A6103F" w:rsidRPr="00A6103F" w:rsidRDefault="00A6103F" w:rsidP="00A6103F">
      <w:pPr>
        <w:jc w:val="center"/>
        <w:rPr>
          <w:rFonts w:ascii="Times New Roman" w:hAnsi="Times New Roman" w:cs="Times New Roman"/>
          <w:b/>
          <w:sz w:val="24"/>
        </w:rPr>
      </w:pPr>
      <w:r w:rsidRPr="00A6103F">
        <w:rPr>
          <w:rFonts w:ascii="Times New Roman" w:hAnsi="Times New Roman" w:cs="Times New Roman"/>
          <w:b/>
          <w:sz w:val="24"/>
        </w:rPr>
        <w:t>Abstract</w:t>
      </w:r>
    </w:p>
    <w:p w:rsidR="00A6103F" w:rsidRPr="00A6103F" w:rsidRDefault="00A6103F" w:rsidP="00A6103F">
      <w:pPr>
        <w:jc w:val="both"/>
        <w:rPr>
          <w:rFonts w:ascii="Times New Roman" w:hAnsi="Times New Roman" w:cs="Times New Roman"/>
          <w:sz w:val="20"/>
        </w:rPr>
      </w:pPr>
      <w:r w:rsidRPr="00A6103F">
        <w:rPr>
          <w:rFonts w:ascii="Times New Roman" w:hAnsi="Times New Roman" w:cs="Times New Roman"/>
          <w:b/>
          <w:sz w:val="20"/>
        </w:rPr>
        <w:t>Objective:</w:t>
      </w:r>
      <w:r w:rsidRPr="00A6103F">
        <w:rPr>
          <w:rFonts w:ascii="Times New Roman" w:hAnsi="Times New Roman" w:cs="Times New Roman"/>
          <w:sz w:val="20"/>
        </w:rPr>
        <w:t xml:space="preserve"> Observational studies have linked lifestyle, diet, obesity, and biochemical measures with infertility. Whether this association is causal is unclear. We sought to identify the causal relationship between modifiable risk factors with infertility. </w:t>
      </w:r>
    </w:p>
    <w:p w:rsidR="00A6103F" w:rsidRPr="00A6103F" w:rsidRDefault="00A6103F" w:rsidP="00A6103F">
      <w:pPr>
        <w:jc w:val="both"/>
        <w:rPr>
          <w:rFonts w:ascii="Times New Roman" w:hAnsi="Times New Roman" w:cs="Times New Roman"/>
          <w:sz w:val="20"/>
        </w:rPr>
      </w:pPr>
      <w:r w:rsidRPr="00A6103F">
        <w:rPr>
          <w:rFonts w:ascii="Times New Roman" w:hAnsi="Times New Roman" w:cs="Times New Roman"/>
          <w:b/>
          <w:sz w:val="20"/>
        </w:rPr>
        <w:t>Methods:</w:t>
      </w:r>
      <w:r w:rsidRPr="00A6103F">
        <w:rPr>
          <w:rFonts w:ascii="Times New Roman" w:hAnsi="Times New Roman" w:cs="Times New Roman"/>
          <w:sz w:val="20"/>
        </w:rPr>
        <w:t xml:space="preserve"> Using </w:t>
      </w:r>
      <w:r w:rsidRPr="00A6103F">
        <w:rPr>
          <w:rFonts w:ascii="Times New Roman" w:hAnsi="Times New Roman" w:cs="Times New Roman"/>
          <w:sz w:val="20"/>
        </w:rPr>
        <w:t>Single</w:t>
      </w:r>
      <w:r w:rsidRPr="00A6103F">
        <w:rPr>
          <w:rFonts w:ascii="Times New Roman" w:hAnsi="Times New Roman" w:cs="Times New Roman"/>
          <w:sz w:val="20"/>
        </w:rPr>
        <w:t>-</w:t>
      </w:r>
      <w:r w:rsidRPr="00A6103F">
        <w:rPr>
          <w:rFonts w:ascii="Times New Roman" w:hAnsi="Times New Roman" w:cs="Times New Roman"/>
          <w:sz w:val="20"/>
        </w:rPr>
        <w:t xml:space="preserve">Nucleotide Polymorphisms </w:t>
      </w:r>
      <w:r w:rsidRPr="00A6103F">
        <w:rPr>
          <w:rFonts w:ascii="Times New Roman" w:hAnsi="Times New Roman" w:cs="Times New Roman"/>
          <w:sz w:val="20"/>
        </w:rPr>
        <w:t xml:space="preserve">(SNPs) as a genetic instrument variable, we carried out a two-sample </w:t>
      </w:r>
      <w:proofErr w:type="spellStart"/>
      <w:r w:rsidRPr="00A6103F">
        <w:rPr>
          <w:rFonts w:ascii="Times New Roman" w:hAnsi="Times New Roman" w:cs="Times New Roman"/>
          <w:sz w:val="20"/>
        </w:rPr>
        <w:t>Mendelian</w:t>
      </w:r>
      <w:proofErr w:type="spellEnd"/>
      <w:r w:rsidRPr="00A6103F">
        <w:rPr>
          <w:rFonts w:ascii="Times New Roman" w:hAnsi="Times New Roman" w:cs="Times New Roman"/>
          <w:sz w:val="20"/>
        </w:rPr>
        <w:t xml:space="preserve"> </w:t>
      </w:r>
      <w:r w:rsidRPr="00A6103F">
        <w:rPr>
          <w:rFonts w:ascii="Times New Roman" w:hAnsi="Times New Roman" w:cs="Times New Roman"/>
          <w:sz w:val="20"/>
        </w:rPr>
        <w:t xml:space="preserve">Randomization </w:t>
      </w:r>
      <w:r w:rsidRPr="00A6103F">
        <w:rPr>
          <w:rFonts w:ascii="Times New Roman" w:hAnsi="Times New Roman" w:cs="Times New Roman"/>
          <w:sz w:val="20"/>
        </w:rPr>
        <w:t>(MR) analysis to estimate the causal effects for 22 modifiable risk factors on female infertility (6481 cases; 75,450 participants)</w:t>
      </w:r>
      <w:r w:rsidR="00EF09A8">
        <w:rPr>
          <w:rFonts w:ascii="Times New Roman" w:hAnsi="Times New Roman" w:cs="Times New Roman"/>
          <w:sz w:val="20"/>
        </w:rPr>
        <w:t xml:space="preserve"> [Figure 1]</w:t>
      </w:r>
      <w:r w:rsidRPr="00A6103F">
        <w:rPr>
          <w:rFonts w:ascii="Times New Roman" w:hAnsi="Times New Roman" w:cs="Times New Roman"/>
          <w:sz w:val="20"/>
        </w:rPr>
        <w:t xml:space="preserve"> and male infertility (680 cases; 73,479 participants)</w:t>
      </w:r>
      <w:r w:rsidR="00EF09A8">
        <w:rPr>
          <w:rFonts w:ascii="Times New Roman" w:hAnsi="Times New Roman" w:cs="Times New Roman"/>
          <w:sz w:val="20"/>
        </w:rPr>
        <w:t xml:space="preserve"> [Figure 2]</w:t>
      </w:r>
      <w:r w:rsidRPr="00A6103F">
        <w:rPr>
          <w:rFonts w:ascii="Times New Roman" w:hAnsi="Times New Roman" w:cs="Times New Roman"/>
          <w:sz w:val="20"/>
        </w:rPr>
        <w:t xml:space="preserve">. </w:t>
      </w:r>
    </w:p>
    <w:p w:rsidR="00A6103F" w:rsidRPr="00A6103F" w:rsidRDefault="00A6103F" w:rsidP="00A6103F">
      <w:pPr>
        <w:jc w:val="both"/>
        <w:rPr>
          <w:rFonts w:ascii="Times New Roman" w:hAnsi="Times New Roman" w:cs="Times New Roman"/>
          <w:sz w:val="20"/>
        </w:rPr>
      </w:pPr>
      <w:r w:rsidRPr="00A6103F">
        <w:rPr>
          <w:rFonts w:ascii="Times New Roman" w:hAnsi="Times New Roman" w:cs="Times New Roman"/>
          <w:b/>
          <w:sz w:val="20"/>
        </w:rPr>
        <w:t>Results:</w:t>
      </w:r>
      <w:r w:rsidRPr="00A6103F">
        <w:rPr>
          <w:rFonts w:ascii="Times New Roman" w:hAnsi="Times New Roman" w:cs="Times New Roman"/>
          <w:sz w:val="20"/>
        </w:rPr>
        <w:t xml:space="preserve"> The results of the s</w:t>
      </w:r>
      <w:r>
        <w:rPr>
          <w:rFonts w:ascii="Times New Roman" w:hAnsi="Times New Roman" w:cs="Times New Roman"/>
          <w:sz w:val="20"/>
        </w:rPr>
        <w:t>tudy showed that BMI (OR:1.24,95% CI (1.09,</w:t>
      </w:r>
      <w:r w:rsidRPr="00A6103F">
        <w:rPr>
          <w:rFonts w:ascii="Times New Roman" w:hAnsi="Times New Roman" w:cs="Times New Roman"/>
          <w:sz w:val="20"/>
        </w:rPr>
        <w:t>1</w:t>
      </w:r>
      <w:r>
        <w:rPr>
          <w:rFonts w:ascii="Times New Roman" w:hAnsi="Times New Roman" w:cs="Times New Roman"/>
          <w:sz w:val="20"/>
        </w:rPr>
        <w:t>.40)), body fat percentage (OR:1.73,95% CI (1.13,</w:t>
      </w:r>
      <w:r w:rsidRPr="00A6103F">
        <w:rPr>
          <w:rFonts w:ascii="Times New Roman" w:hAnsi="Times New Roman" w:cs="Times New Roman"/>
          <w:sz w:val="20"/>
        </w:rPr>
        <w:t>2.64)</w:t>
      </w:r>
      <w:r>
        <w:rPr>
          <w:rFonts w:ascii="Times New Roman" w:hAnsi="Times New Roman" w:cs="Times New Roman"/>
          <w:sz w:val="20"/>
        </w:rPr>
        <w:t>), and alcohol consumption (OR:6.57,95% CI (1.2,</w:t>
      </w:r>
      <w:r w:rsidRPr="00A6103F">
        <w:rPr>
          <w:rFonts w:ascii="Times New Roman" w:hAnsi="Times New Roman" w:cs="Times New Roman"/>
          <w:sz w:val="20"/>
        </w:rPr>
        <w:t>36.14)) are associated with a higher risk of male infertil</w:t>
      </w:r>
      <w:r>
        <w:rPr>
          <w:rFonts w:ascii="Times New Roman" w:hAnsi="Times New Roman" w:cs="Times New Roman"/>
          <w:sz w:val="20"/>
        </w:rPr>
        <w:t>ity, and total fatty acids (OR:1.16,95% CI (1.03,1.30), omega-6 fatty acids (OR:1.14,95% CI (1.00,</w:t>
      </w:r>
      <w:r w:rsidRPr="00A6103F">
        <w:rPr>
          <w:rFonts w:ascii="Times New Roman" w:hAnsi="Times New Roman" w:cs="Times New Roman"/>
          <w:sz w:val="20"/>
        </w:rPr>
        <w:t>1.27)), and m</w:t>
      </w:r>
      <w:r>
        <w:rPr>
          <w:rFonts w:ascii="Times New Roman" w:hAnsi="Times New Roman" w:cs="Times New Roman"/>
          <w:sz w:val="20"/>
        </w:rPr>
        <w:t>onounsaturated fatty acids (OR:1.14,95% CI (1.03,</w:t>
      </w:r>
      <w:r w:rsidRPr="00A6103F">
        <w:rPr>
          <w:rFonts w:ascii="Times New Roman" w:hAnsi="Times New Roman" w:cs="Times New Roman"/>
          <w:sz w:val="20"/>
        </w:rPr>
        <w:t>1.28) are associated with a higher risk of infertility in women. We observed t</w:t>
      </w:r>
      <w:r>
        <w:rPr>
          <w:rFonts w:ascii="Times New Roman" w:hAnsi="Times New Roman" w:cs="Times New Roman"/>
          <w:sz w:val="20"/>
        </w:rPr>
        <w:t>hat higher education (OR</w:t>
      </w:r>
      <w:proofErr w:type="gramStart"/>
      <w:r>
        <w:rPr>
          <w:rFonts w:ascii="Times New Roman" w:hAnsi="Times New Roman" w:cs="Times New Roman"/>
          <w:sz w:val="20"/>
        </w:rPr>
        <w:t>:0.77,95</w:t>
      </w:r>
      <w:proofErr w:type="gramEnd"/>
      <w:r>
        <w:rPr>
          <w:rFonts w:ascii="Times New Roman" w:hAnsi="Times New Roman" w:cs="Times New Roman"/>
          <w:sz w:val="20"/>
        </w:rPr>
        <w:t>% CI (0.64,</w:t>
      </w:r>
      <w:r w:rsidRPr="00A6103F">
        <w:rPr>
          <w:rFonts w:ascii="Times New Roman" w:hAnsi="Times New Roman" w:cs="Times New Roman"/>
          <w:sz w:val="20"/>
        </w:rPr>
        <w:t xml:space="preserve">0.92)) was a protective factor for female infertility. </w:t>
      </w:r>
    </w:p>
    <w:p w:rsidR="00A6103F" w:rsidRDefault="00A6103F" w:rsidP="00A6103F">
      <w:pPr>
        <w:jc w:val="both"/>
        <w:rPr>
          <w:rFonts w:ascii="Times New Roman" w:hAnsi="Times New Roman" w:cs="Times New Roman"/>
          <w:sz w:val="20"/>
        </w:rPr>
      </w:pPr>
      <w:r w:rsidRPr="00A6103F">
        <w:rPr>
          <w:rFonts w:ascii="Times New Roman" w:hAnsi="Times New Roman" w:cs="Times New Roman"/>
          <w:b/>
          <w:sz w:val="20"/>
        </w:rPr>
        <w:t>Conclusion:</w:t>
      </w:r>
      <w:r w:rsidRPr="00A6103F">
        <w:rPr>
          <w:rFonts w:ascii="Times New Roman" w:hAnsi="Times New Roman" w:cs="Times New Roman"/>
          <w:sz w:val="20"/>
        </w:rPr>
        <w:t xml:space="preserve"> BMI, body fat percentage, and alcohol consumption are risk factors for male infertility; total fatty acids, omega-6 fatty acids, and monounsaturated fatty acids are risk factors for female infertility, and education is a protective factor for female infertility.</w:t>
      </w:r>
    </w:p>
    <w:p w:rsidR="00A6103F" w:rsidRDefault="00A6103F" w:rsidP="00A6103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7F0716D">
            <wp:extent cx="3152851" cy="13167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7855" cy="1318826"/>
                    </a:xfrm>
                    <a:prstGeom prst="rect">
                      <a:avLst/>
                    </a:prstGeom>
                    <a:noFill/>
                  </pic:spPr>
                </pic:pic>
              </a:graphicData>
            </a:graphic>
          </wp:inline>
        </w:drawing>
      </w:r>
    </w:p>
    <w:p w:rsidR="00A6103F" w:rsidRDefault="00A6103F" w:rsidP="00A6103F">
      <w:pPr>
        <w:jc w:val="center"/>
        <w:rPr>
          <w:rFonts w:ascii="Times New Roman" w:hAnsi="Times New Roman" w:cs="Times New Roman"/>
          <w:i/>
          <w:sz w:val="18"/>
        </w:rPr>
      </w:pPr>
      <w:proofErr w:type="gramStart"/>
      <w:r w:rsidRPr="00A6103F">
        <w:rPr>
          <w:rFonts w:ascii="Times New Roman" w:hAnsi="Times New Roman" w:cs="Times New Roman"/>
          <w:b/>
          <w:i/>
          <w:sz w:val="18"/>
        </w:rPr>
        <w:t xml:space="preserve">Figure </w:t>
      </w:r>
      <w:r w:rsidR="00EF09A8">
        <w:rPr>
          <w:rFonts w:ascii="Times New Roman" w:hAnsi="Times New Roman" w:cs="Times New Roman"/>
          <w:b/>
          <w:i/>
          <w:sz w:val="18"/>
        </w:rPr>
        <w:t>1</w:t>
      </w:r>
      <w:r w:rsidRPr="00A6103F">
        <w:rPr>
          <w:rFonts w:ascii="Times New Roman" w:hAnsi="Times New Roman" w:cs="Times New Roman"/>
          <w:b/>
          <w:i/>
          <w:sz w:val="18"/>
        </w:rPr>
        <w:t>.</w:t>
      </w:r>
      <w:proofErr w:type="gramEnd"/>
      <w:r w:rsidRPr="00A6103F">
        <w:rPr>
          <w:rFonts w:ascii="Times New Roman" w:hAnsi="Times New Roman" w:cs="Times New Roman"/>
          <w:i/>
          <w:sz w:val="18"/>
        </w:rPr>
        <w:t xml:space="preserve"> </w:t>
      </w:r>
      <w:proofErr w:type="gramStart"/>
      <w:r w:rsidRPr="00A6103F">
        <w:rPr>
          <w:rFonts w:ascii="Times New Roman" w:hAnsi="Times New Roman" w:cs="Times New Roman"/>
          <w:i/>
          <w:sz w:val="18"/>
        </w:rPr>
        <w:t>Risk factors and protective factors of female infertility.</w:t>
      </w:r>
      <w:proofErr w:type="gramEnd"/>
    </w:p>
    <w:p w:rsidR="00EF09A8" w:rsidRDefault="00EF09A8" w:rsidP="00EF09A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070AA64" wp14:editId="0D4592B3">
            <wp:extent cx="3174797" cy="1324052"/>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6270" cy="1324666"/>
                    </a:xfrm>
                    <a:prstGeom prst="rect">
                      <a:avLst/>
                    </a:prstGeom>
                    <a:noFill/>
                  </pic:spPr>
                </pic:pic>
              </a:graphicData>
            </a:graphic>
          </wp:inline>
        </w:drawing>
      </w:r>
    </w:p>
    <w:p w:rsidR="00EF09A8" w:rsidRDefault="00EF09A8" w:rsidP="00EF09A8">
      <w:pPr>
        <w:jc w:val="center"/>
        <w:rPr>
          <w:rFonts w:ascii="Times New Roman" w:hAnsi="Times New Roman" w:cs="Times New Roman"/>
          <w:i/>
          <w:sz w:val="18"/>
        </w:rPr>
      </w:pPr>
      <w:proofErr w:type="gramStart"/>
      <w:r w:rsidRPr="00A6103F">
        <w:rPr>
          <w:rFonts w:ascii="Times New Roman" w:hAnsi="Times New Roman" w:cs="Times New Roman"/>
          <w:b/>
          <w:i/>
          <w:sz w:val="18"/>
        </w:rPr>
        <w:t xml:space="preserve">Figure </w:t>
      </w:r>
      <w:r>
        <w:rPr>
          <w:rFonts w:ascii="Times New Roman" w:hAnsi="Times New Roman" w:cs="Times New Roman"/>
          <w:b/>
          <w:i/>
          <w:sz w:val="18"/>
        </w:rPr>
        <w:t>2</w:t>
      </w:r>
      <w:r w:rsidRPr="00A6103F">
        <w:rPr>
          <w:rFonts w:ascii="Times New Roman" w:hAnsi="Times New Roman" w:cs="Times New Roman"/>
          <w:b/>
          <w:i/>
          <w:sz w:val="18"/>
        </w:rPr>
        <w:t>.</w:t>
      </w:r>
      <w:proofErr w:type="gramEnd"/>
      <w:r w:rsidRPr="00A6103F">
        <w:rPr>
          <w:rFonts w:ascii="Times New Roman" w:hAnsi="Times New Roman" w:cs="Times New Roman"/>
          <w:i/>
          <w:sz w:val="18"/>
        </w:rPr>
        <w:t xml:space="preserve"> </w:t>
      </w:r>
      <w:proofErr w:type="gramStart"/>
      <w:r w:rsidRPr="00A6103F">
        <w:rPr>
          <w:rFonts w:ascii="Times New Roman" w:hAnsi="Times New Roman" w:cs="Times New Roman"/>
          <w:i/>
          <w:sz w:val="18"/>
        </w:rPr>
        <w:t>Risk factors of male infertility.</w:t>
      </w:r>
      <w:proofErr w:type="gramEnd"/>
    </w:p>
    <w:p w:rsidR="00A6103F" w:rsidRPr="00A6103F" w:rsidRDefault="00A6103F" w:rsidP="00EF09A8">
      <w:pPr>
        <w:rPr>
          <w:rFonts w:ascii="Times New Roman" w:hAnsi="Times New Roman" w:cs="Times New Roman"/>
          <w:i/>
          <w:sz w:val="18"/>
        </w:rPr>
      </w:pPr>
      <w:r w:rsidRPr="00A6103F">
        <w:rPr>
          <w:rFonts w:ascii="Times New Roman" w:hAnsi="Times New Roman" w:cs="Times New Roman"/>
          <w:b/>
          <w:sz w:val="24"/>
        </w:rPr>
        <w:lastRenderedPageBreak/>
        <w:t>Biography</w:t>
      </w:r>
    </w:p>
    <w:p w:rsidR="00A6103F" w:rsidRPr="00A6103F" w:rsidRDefault="00A6103F" w:rsidP="00A6103F">
      <w:pPr>
        <w:jc w:val="both"/>
        <w:rPr>
          <w:rFonts w:ascii="Times New Roman" w:hAnsi="Times New Roman" w:cs="Times New Roman"/>
          <w:sz w:val="20"/>
        </w:rPr>
      </w:pPr>
      <w:proofErr w:type="spellStart"/>
      <w:r w:rsidRPr="00A6103F">
        <w:rPr>
          <w:rFonts w:ascii="Times New Roman" w:hAnsi="Times New Roman" w:cs="Times New Roman"/>
          <w:sz w:val="20"/>
        </w:rPr>
        <w:t>Yueyuan</w:t>
      </w:r>
      <w:proofErr w:type="spellEnd"/>
      <w:r w:rsidRPr="00A6103F">
        <w:rPr>
          <w:rFonts w:ascii="Times New Roman" w:hAnsi="Times New Roman" w:cs="Times New Roman"/>
          <w:sz w:val="20"/>
        </w:rPr>
        <w:t xml:space="preserve"> You has her expertise and passion in epidemiology and the evidence based medicine. Her findings of risk factors and protective factors of male and female infertility using a </w:t>
      </w:r>
      <w:proofErr w:type="spellStart"/>
      <w:proofErr w:type="gramStart"/>
      <w:r w:rsidRPr="00A6103F">
        <w:rPr>
          <w:rFonts w:ascii="Times New Roman" w:hAnsi="Times New Roman" w:cs="Times New Roman"/>
          <w:sz w:val="20"/>
        </w:rPr>
        <w:t>mendelian</w:t>
      </w:r>
      <w:proofErr w:type="spellEnd"/>
      <w:proofErr w:type="gramEnd"/>
      <w:r w:rsidRPr="00A6103F">
        <w:rPr>
          <w:rFonts w:ascii="Times New Roman" w:hAnsi="Times New Roman" w:cs="Times New Roman"/>
          <w:sz w:val="20"/>
        </w:rPr>
        <w:t xml:space="preserve"> randomization method shed light on the studies of infertility. She has built this work through years of experience in research, calculating, and application both in hospital and education institutions. A 2-sample MR using summary-level data from published GWASs is performed. This approach is responsive to all stakeholders and has a different way of focusing.</w:t>
      </w:r>
      <w:bookmarkEnd w:id="0"/>
    </w:p>
    <w:sectPr w:rsidR="00A6103F" w:rsidRPr="00A61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3F"/>
    <w:rsid w:val="00474203"/>
    <w:rsid w:val="00535872"/>
    <w:rsid w:val="00924B33"/>
    <w:rsid w:val="00A6103F"/>
    <w:rsid w:val="00EF0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0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0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2022-10-13T09:33:00Z</dcterms:created>
  <dcterms:modified xsi:type="dcterms:W3CDTF">2022-10-13T09:54:00Z</dcterms:modified>
</cp:coreProperties>
</file>