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C3D" w:rsidRPr="00B85C3D" w:rsidRDefault="00B85C3D" w:rsidP="00B85C3D">
      <w:pPr>
        <w:rPr>
          <w:rFonts w:ascii="Times New Roman" w:hAnsi="Times New Roman" w:cs="Times New Roman"/>
          <w:b/>
          <w:sz w:val="32"/>
        </w:rPr>
      </w:pPr>
      <w:r w:rsidRPr="00B85C3D">
        <w:rPr>
          <w:rFonts w:ascii="Times New Roman" w:hAnsi="Times New Roman" w:cs="Times New Roman"/>
          <w:b/>
          <w:sz w:val="32"/>
        </w:rPr>
        <w:t>Epinephrine for managing no-reflow phenomenon: A systematic review</w:t>
      </w:r>
    </w:p>
    <w:p w:rsidR="00B85C3D" w:rsidRPr="00B85C3D" w:rsidRDefault="00B85C3D" w:rsidP="00B85C3D">
      <w:pPr>
        <w:rPr>
          <w:rFonts w:ascii="Times New Roman" w:hAnsi="Times New Roman" w:cs="Times New Roman"/>
          <w:sz w:val="24"/>
        </w:rPr>
      </w:pPr>
      <w:r w:rsidRPr="00B85C3D">
        <w:rPr>
          <w:rFonts w:ascii="Times New Roman" w:hAnsi="Times New Roman" w:cs="Times New Roman"/>
          <w:sz w:val="24"/>
        </w:rPr>
        <w:t xml:space="preserve">Elmira </w:t>
      </w:r>
      <w:proofErr w:type="spellStart"/>
      <w:r w:rsidRPr="00B85C3D">
        <w:rPr>
          <w:rFonts w:ascii="Times New Roman" w:hAnsi="Times New Roman" w:cs="Times New Roman"/>
          <w:sz w:val="24"/>
        </w:rPr>
        <w:t>Jafari</w:t>
      </w:r>
      <w:proofErr w:type="spellEnd"/>
      <w:r w:rsidRPr="00B85C3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85C3D">
        <w:rPr>
          <w:rFonts w:ascii="Times New Roman" w:hAnsi="Times New Roman" w:cs="Times New Roman"/>
          <w:sz w:val="24"/>
        </w:rPr>
        <w:t>Afshar</w:t>
      </w:r>
      <w:proofErr w:type="spellEnd"/>
      <w:r w:rsidRPr="00B85C3D">
        <w:rPr>
          <w:rFonts w:ascii="Times New Roman" w:hAnsi="Times New Roman" w:cs="Times New Roman"/>
          <w:sz w:val="24"/>
        </w:rPr>
        <w:t xml:space="preserve"> </w:t>
      </w:r>
    </w:p>
    <w:p w:rsidR="00B85C3D" w:rsidRPr="00B85C3D" w:rsidRDefault="00B85C3D" w:rsidP="00B85C3D">
      <w:pPr>
        <w:rPr>
          <w:rFonts w:ascii="Times New Roman" w:hAnsi="Times New Roman" w:cs="Times New Roman"/>
        </w:rPr>
      </w:pPr>
      <w:proofErr w:type="spellStart"/>
      <w:r w:rsidRPr="00B85C3D">
        <w:rPr>
          <w:rFonts w:ascii="Times New Roman" w:hAnsi="Times New Roman" w:cs="Times New Roman"/>
        </w:rPr>
        <w:t>Alborz</w:t>
      </w:r>
      <w:proofErr w:type="spellEnd"/>
      <w:r w:rsidRPr="00B85C3D">
        <w:rPr>
          <w:rFonts w:ascii="Times New Roman" w:hAnsi="Times New Roman" w:cs="Times New Roman"/>
        </w:rPr>
        <w:t xml:space="preserve"> University of Medical Sciences</w:t>
      </w:r>
      <w:r>
        <w:rPr>
          <w:rFonts w:ascii="Times New Roman" w:hAnsi="Times New Roman" w:cs="Times New Roman"/>
        </w:rPr>
        <w:t xml:space="preserve">, </w:t>
      </w:r>
      <w:r w:rsidRPr="00B85C3D">
        <w:rPr>
          <w:rFonts w:ascii="Times New Roman" w:hAnsi="Times New Roman" w:cs="Times New Roman"/>
        </w:rPr>
        <w:t xml:space="preserve">Iran </w:t>
      </w:r>
    </w:p>
    <w:p w:rsidR="00B85C3D" w:rsidRPr="00B85C3D" w:rsidRDefault="00B85C3D" w:rsidP="00B85C3D">
      <w:pPr>
        <w:jc w:val="center"/>
        <w:rPr>
          <w:rFonts w:ascii="Times New Roman" w:hAnsi="Times New Roman" w:cs="Times New Roman"/>
          <w:b/>
          <w:sz w:val="24"/>
        </w:rPr>
      </w:pPr>
      <w:r w:rsidRPr="00B85C3D">
        <w:rPr>
          <w:rFonts w:ascii="Times New Roman" w:hAnsi="Times New Roman" w:cs="Times New Roman"/>
          <w:b/>
          <w:sz w:val="24"/>
        </w:rPr>
        <w:t>Abstract</w:t>
      </w:r>
    </w:p>
    <w:p w:rsidR="00B85C3D" w:rsidRPr="00B85C3D" w:rsidRDefault="00B85C3D" w:rsidP="00B85C3D">
      <w:pPr>
        <w:jc w:val="both"/>
        <w:rPr>
          <w:rFonts w:ascii="Times New Roman" w:hAnsi="Times New Roman" w:cs="Times New Roman"/>
          <w:sz w:val="20"/>
        </w:rPr>
      </w:pPr>
      <w:r w:rsidRPr="00B85C3D">
        <w:rPr>
          <w:rFonts w:ascii="Times New Roman" w:hAnsi="Times New Roman" w:cs="Times New Roman"/>
          <w:sz w:val="20"/>
        </w:rPr>
        <w:t>Several agents can be used in the case of the primary or refractory no-reflow phenomenon. We conducted a systematic review of the literature to evaluate the efficacy and safety of Intra</w:t>
      </w:r>
      <w:r>
        <w:rPr>
          <w:rFonts w:ascii="Times New Roman" w:hAnsi="Times New Roman" w:cs="Times New Roman"/>
          <w:sz w:val="20"/>
        </w:rPr>
        <w:t>-</w:t>
      </w:r>
      <w:r w:rsidRPr="00B85C3D">
        <w:rPr>
          <w:rFonts w:ascii="Times New Roman" w:hAnsi="Times New Roman" w:cs="Times New Roman"/>
          <w:sz w:val="20"/>
        </w:rPr>
        <w:t xml:space="preserve">Coronary </w:t>
      </w:r>
      <w:r w:rsidRPr="00B85C3D">
        <w:rPr>
          <w:rFonts w:ascii="Times New Roman" w:hAnsi="Times New Roman" w:cs="Times New Roman"/>
          <w:sz w:val="20"/>
        </w:rPr>
        <w:t>(IC) Epinephrine in the management of no-reflow phenomenon following Percutaneous Coronary Intervention (PCI).</w:t>
      </w:r>
    </w:p>
    <w:p w:rsidR="00B85C3D" w:rsidRPr="00B85C3D" w:rsidRDefault="00B85C3D" w:rsidP="00B85C3D">
      <w:pPr>
        <w:jc w:val="both"/>
        <w:rPr>
          <w:rFonts w:ascii="Times New Roman" w:hAnsi="Times New Roman" w:cs="Times New Roman"/>
          <w:sz w:val="20"/>
        </w:rPr>
      </w:pPr>
      <w:r w:rsidRPr="00B85C3D">
        <w:rPr>
          <w:rFonts w:ascii="Times New Roman" w:hAnsi="Times New Roman" w:cs="Times New Roman"/>
          <w:sz w:val="20"/>
        </w:rPr>
        <w:t>We searched PubMed and Scopus databases, with additional manual searching.</w:t>
      </w:r>
    </w:p>
    <w:p w:rsidR="00B85C3D" w:rsidRPr="00B85C3D" w:rsidRDefault="00B85C3D" w:rsidP="00B85C3D">
      <w:pPr>
        <w:jc w:val="both"/>
        <w:rPr>
          <w:rFonts w:ascii="Times New Roman" w:hAnsi="Times New Roman" w:cs="Times New Roman"/>
          <w:sz w:val="20"/>
        </w:rPr>
      </w:pPr>
      <w:r w:rsidRPr="00B85C3D">
        <w:rPr>
          <w:rFonts w:ascii="Times New Roman" w:hAnsi="Times New Roman" w:cs="Times New Roman"/>
          <w:sz w:val="20"/>
        </w:rPr>
        <w:t>All studies which assessed the efficacy and/or safety of IC Epinephrine in patients with no-flow phenomenon were included in our review.</w:t>
      </w:r>
    </w:p>
    <w:p w:rsidR="00B85C3D" w:rsidRPr="00B85C3D" w:rsidRDefault="00B85C3D" w:rsidP="00B85C3D">
      <w:pPr>
        <w:jc w:val="both"/>
        <w:rPr>
          <w:rFonts w:ascii="Times New Roman" w:hAnsi="Times New Roman" w:cs="Times New Roman"/>
          <w:sz w:val="20"/>
        </w:rPr>
      </w:pPr>
      <w:r w:rsidRPr="00B85C3D">
        <w:rPr>
          <w:rFonts w:ascii="Times New Roman" w:hAnsi="Times New Roman" w:cs="Times New Roman"/>
          <w:sz w:val="20"/>
        </w:rPr>
        <w:t xml:space="preserve">Six studies met our inclusion criteria. IC Epinephrine was used either as a first-line treatment of the no-reflow phenomenon (two </w:t>
      </w:r>
      <w:r w:rsidRPr="00B85C3D">
        <w:rPr>
          <w:rFonts w:ascii="Times New Roman" w:hAnsi="Times New Roman" w:cs="Times New Roman"/>
          <w:sz w:val="20"/>
        </w:rPr>
        <w:t xml:space="preserve">Randomized Clinical Trials </w:t>
      </w:r>
      <w:r w:rsidRPr="00B85C3D">
        <w:rPr>
          <w:rFonts w:ascii="Times New Roman" w:hAnsi="Times New Roman" w:cs="Times New Roman"/>
          <w:sz w:val="20"/>
        </w:rPr>
        <w:t>(RCTs) or after the failure of conventional agents such as adenosine, calcium channel blockers</w:t>
      </w:r>
      <w:r>
        <w:rPr>
          <w:rFonts w:ascii="Times New Roman" w:hAnsi="Times New Roman" w:cs="Times New Roman"/>
          <w:sz w:val="20"/>
        </w:rPr>
        <w:t xml:space="preserve"> and</w:t>
      </w:r>
      <w:r w:rsidRPr="00B85C3D">
        <w:rPr>
          <w:rFonts w:ascii="Times New Roman" w:hAnsi="Times New Roman" w:cs="Times New Roman"/>
          <w:sz w:val="20"/>
        </w:rPr>
        <w:t xml:space="preserve"> nitrates (two cohort studies and two case series) for restoring the coronary flow, mainly after primary PCI. As first-line therapy, IC Epinephrine reinstated coronary flow in over 90% of patients in both RCTs, which significantly outperformed IC Adenosine (78%) but lagged behind the combination of Verapamil and </w:t>
      </w:r>
      <w:proofErr w:type="spellStart"/>
      <w:r w:rsidRPr="00B85C3D">
        <w:rPr>
          <w:rFonts w:ascii="Times New Roman" w:hAnsi="Times New Roman" w:cs="Times New Roman"/>
          <w:sz w:val="20"/>
        </w:rPr>
        <w:t>Tirofiban</w:t>
      </w:r>
      <w:proofErr w:type="spellEnd"/>
      <w:r w:rsidRPr="00B85C3D">
        <w:rPr>
          <w:rFonts w:ascii="Times New Roman" w:hAnsi="Times New Roman" w:cs="Times New Roman"/>
          <w:sz w:val="20"/>
        </w:rPr>
        <w:t xml:space="preserve"> (100%) in this regard. In the refractory no-flow phenomenon, successf</w:t>
      </w:r>
      <w:r>
        <w:rPr>
          <w:rFonts w:ascii="Times New Roman" w:hAnsi="Times New Roman" w:cs="Times New Roman"/>
          <w:sz w:val="20"/>
        </w:rPr>
        <w:t>ul reperfusion (TIMI flow grade</w:t>
      </w:r>
      <w:r w:rsidRPr="00B85C3D">
        <w:rPr>
          <w:rFonts w:ascii="Times New Roman" w:hAnsi="Times New Roman" w:cs="Times New Roman"/>
          <w:sz w:val="20"/>
        </w:rPr>
        <w:t>=3) was achieved in 3 out of four patients after the administration of IC Epinephrine based on the results from both case series. Their findings were confirmed by a recent cohort study that further compared IC Epinephrine with IC Adenosine and found significant differences between them in terms of e</w:t>
      </w:r>
      <w:r>
        <w:rPr>
          <w:rFonts w:ascii="Times New Roman" w:hAnsi="Times New Roman" w:cs="Times New Roman"/>
          <w:sz w:val="20"/>
        </w:rPr>
        <w:t>fficacy (% TIMI flow grade 3: [</w:t>
      </w:r>
      <w:r w:rsidRPr="00B85C3D">
        <w:rPr>
          <w:rFonts w:ascii="Times New Roman" w:hAnsi="Times New Roman" w:cs="Times New Roman"/>
          <w:sz w:val="20"/>
        </w:rPr>
        <w:t xml:space="preserve">69.1% </w:t>
      </w:r>
      <w:r w:rsidRPr="00B85C3D">
        <w:rPr>
          <w:rFonts w:ascii="Times New Roman" w:hAnsi="Times New Roman" w:cs="Times New Roman"/>
          <w:i/>
          <w:sz w:val="20"/>
        </w:rPr>
        <w:t>vs.</w:t>
      </w:r>
      <w:r w:rsidRPr="00B85C3D">
        <w:rPr>
          <w:rFonts w:ascii="Times New Roman" w:hAnsi="Times New Roman" w:cs="Times New Roman"/>
          <w:sz w:val="20"/>
        </w:rPr>
        <w:t xml:space="preserve"> 52.7%, respectively] and one-year </w:t>
      </w:r>
      <w:r w:rsidRPr="00B85C3D">
        <w:rPr>
          <w:rFonts w:ascii="Times New Roman" w:hAnsi="Times New Roman" w:cs="Times New Roman"/>
          <w:sz w:val="20"/>
        </w:rPr>
        <w:t xml:space="preserve">Major Adverse Cardiac Events </w:t>
      </w:r>
      <w:r w:rsidRPr="00B85C3D">
        <w:rPr>
          <w:rFonts w:ascii="Times New Roman" w:hAnsi="Times New Roman" w:cs="Times New Roman"/>
          <w:sz w:val="20"/>
        </w:rPr>
        <w:t xml:space="preserve">(MACE) outcomes [11.3% </w:t>
      </w:r>
      <w:r w:rsidRPr="00B85C3D">
        <w:rPr>
          <w:rFonts w:ascii="Times New Roman" w:hAnsi="Times New Roman" w:cs="Times New Roman"/>
          <w:i/>
          <w:sz w:val="20"/>
        </w:rPr>
        <w:t>vs.</w:t>
      </w:r>
      <w:r w:rsidRPr="00B85C3D">
        <w:rPr>
          <w:rFonts w:ascii="Times New Roman" w:hAnsi="Times New Roman" w:cs="Times New Roman"/>
          <w:sz w:val="20"/>
        </w:rPr>
        <w:t xml:space="preserve"> 26.7, respectively]). </w:t>
      </w:r>
      <w:r w:rsidRPr="00B85C3D">
        <w:rPr>
          <w:rFonts w:ascii="Times New Roman" w:hAnsi="Times New Roman" w:cs="Times New Roman"/>
          <w:sz w:val="20"/>
        </w:rPr>
        <w:t>Arrhythmias</w:t>
      </w:r>
      <w:r w:rsidRPr="00B85C3D">
        <w:rPr>
          <w:rFonts w:ascii="Times New Roman" w:hAnsi="Times New Roman" w:cs="Times New Roman"/>
          <w:sz w:val="20"/>
        </w:rPr>
        <w:t xml:space="preserve"> were not reported in the patients who were treated with IC Epinephrine.</w:t>
      </w:r>
      <w:r w:rsidRPr="00B85C3D">
        <w:rPr>
          <w:rFonts w:ascii="Times New Roman" w:hAnsi="Times New Roman" w:cs="Times New Roman"/>
          <w:sz w:val="20"/>
        </w:rPr>
        <w:t xml:space="preserve"> </w:t>
      </w:r>
      <w:r w:rsidRPr="00B85C3D">
        <w:rPr>
          <w:rFonts w:ascii="Times New Roman" w:hAnsi="Times New Roman" w:cs="Times New Roman"/>
          <w:sz w:val="20"/>
        </w:rPr>
        <w:t xml:space="preserve">Results from available evidence suggest that intracoronary Epinephrine might be an effective and safe agent in managing the no-reflow phenomenon. Despite other agents, using epinephrine is not limited by hypotension and cardiogenic shock. </w:t>
      </w:r>
    </w:p>
    <w:p w:rsidR="00474203" w:rsidRPr="00B85C3D" w:rsidRDefault="00B85C3D" w:rsidP="00B85C3D">
      <w:pPr>
        <w:jc w:val="both"/>
        <w:rPr>
          <w:rFonts w:ascii="Times New Roman" w:hAnsi="Times New Roman" w:cs="Times New Roman"/>
          <w:sz w:val="20"/>
        </w:rPr>
      </w:pPr>
      <w:r w:rsidRPr="00B85C3D">
        <w:rPr>
          <w:rFonts w:ascii="Times New Roman" w:hAnsi="Times New Roman" w:cs="Times New Roman"/>
          <w:b/>
          <w:sz w:val="20"/>
        </w:rPr>
        <w:t>Conclusion:</w:t>
      </w:r>
      <w:r w:rsidRPr="00B85C3D">
        <w:rPr>
          <w:rFonts w:ascii="Times New Roman" w:hAnsi="Times New Roman" w:cs="Times New Roman"/>
          <w:sz w:val="20"/>
        </w:rPr>
        <w:t xml:space="preserve"> This study may help </w:t>
      </w:r>
      <w:r w:rsidRPr="00B85C3D">
        <w:rPr>
          <w:rFonts w:ascii="Times New Roman" w:hAnsi="Times New Roman" w:cs="Times New Roman"/>
          <w:sz w:val="20"/>
        </w:rPr>
        <w:t xml:space="preserve">Certified Health Education Specialists </w:t>
      </w:r>
      <w:r w:rsidRPr="00B85C3D">
        <w:rPr>
          <w:rFonts w:ascii="Times New Roman" w:hAnsi="Times New Roman" w:cs="Times New Roman"/>
          <w:sz w:val="20"/>
        </w:rPr>
        <w:t xml:space="preserve">(CHES) and </w:t>
      </w:r>
      <w:r w:rsidRPr="00B85C3D">
        <w:rPr>
          <w:rFonts w:ascii="Times New Roman" w:hAnsi="Times New Roman" w:cs="Times New Roman"/>
          <w:sz w:val="20"/>
        </w:rPr>
        <w:t xml:space="preserve">Diabetes Care </w:t>
      </w:r>
      <w:r w:rsidRPr="00B85C3D">
        <w:rPr>
          <w:rFonts w:ascii="Times New Roman" w:hAnsi="Times New Roman" w:cs="Times New Roman"/>
          <w:sz w:val="20"/>
        </w:rPr>
        <w:t xml:space="preserve">and </w:t>
      </w:r>
      <w:r w:rsidRPr="00B85C3D">
        <w:rPr>
          <w:rFonts w:ascii="Times New Roman" w:hAnsi="Times New Roman" w:cs="Times New Roman"/>
          <w:sz w:val="20"/>
        </w:rPr>
        <w:t xml:space="preserve">Educator Specialists </w:t>
      </w:r>
      <w:r w:rsidRPr="00B85C3D">
        <w:rPr>
          <w:rFonts w:ascii="Times New Roman" w:hAnsi="Times New Roman" w:cs="Times New Roman"/>
          <w:sz w:val="20"/>
        </w:rPr>
        <w:t>(DCES) to better identify which groups of individuals are at highest risk for poor adherence to specific blood glucose monitoring in type 2 diabetes.</w:t>
      </w:r>
    </w:p>
    <w:p w:rsidR="00B85C3D" w:rsidRPr="00B85C3D" w:rsidRDefault="00B85C3D" w:rsidP="00B85C3D">
      <w:pPr>
        <w:rPr>
          <w:rFonts w:ascii="Times New Roman" w:hAnsi="Times New Roman" w:cs="Times New Roman"/>
          <w:b/>
          <w:sz w:val="24"/>
        </w:rPr>
      </w:pPr>
      <w:r w:rsidRPr="00B85C3D">
        <w:rPr>
          <w:rFonts w:ascii="Times New Roman" w:hAnsi="Times New Roman" w:cs="Times New Roman"/>
          <w:b/>
          <w:sz w:val="24"/>
        </w:rPr>
        <w:t>Biography</w:t>
      </w:r>
    </w:p>
    <w:p w:rsidR="00B85C3D" w:rsidRPr="00B85C3D" w:rsidRDefault="00B85C3D" w:rsidP="00B85C3D">
      <w:pPr>
        <w:jc w:val="both"/>
        <w:rPr>
          <w:rFonts w:ascii="Times New Roman" w:hAnsi="Times New Roman" w:cs="Times New Roman"/>
          <w:sz w:val="20"/>
        </w:rPr>
      </w:pPr>
      <w:r w:rsidRPr="00B85C3D">
        <w:rPr>
          <w:rFonts w:ascii="Times New Roman" w:hAnsi="Times New Roman" w:cs="Times New Roman"/>
          <w:sz w:val="20"/>
        </w:rPr>
        <w:t xml:space="preserve">Elmira </w:t>
      </w:r>
      <w:proofErr w:type="spellStart"/>
      <w:r w:rsidRPr="00B85C3D">
        <w:rPr>
          <w:rFonts w:ascii="Times New Roman" w:hAnsi="Times New Roman" w:cs="Times New Roman"/>
          <w:sz w:val="20"/>
        </w:rPr>
        <w:t>Jafari</w:t>
      </w:r>
      <w:proofErr w:type="spellEnd"/>
      <w:r w:rsidRPr="00B85C3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B85C3D">
        <w:rPr>
          <w:rFonts w:ascii="Times New Roman" w:hAnsi="Times New Roman" w:cs="Times New Roman"/>
          <w:sz w:val="20"/>
        </w:rPr>
        <w:t>Afshar</w:t>
      </w:r>
      <w:proofErr w:type="spellEnd"/>
      <w:r w:rsidRPr="00B85C3D">
        <w:rPr>
          <w:rFonts w:ascii="Times New Roman" w:hAnsi="Times New Roman" w:cs="Times New Roman"/>
          <w:sz w:val="20"/>
        </w:rPr>
        <w:t xml:space="preserve"> studied Medicine at </w:t>
      </w:r>
      <w:proofErr w:type="spellStart"/>
      <w:r w:rsidRPr="00B85C3D">
        <w:rPr>
          <w:rFonts w:ascii="Times New Roman" w:hAnsi="Times New Roman" w:cs="Times New Roman"/>
          <w:sz w:val="20"/>
        </w:rPr>
        <w:t>Alborz</w:t>
      </w:r>
      <w:proofErr w:type="spellEnd"/>
      <w:r w:rsidRPr="00B85C3D">
        <w:rPr>
          <w:rFonts w:ascii="Times New Roman" w:hAnsi="Times New Roman" w:cs="Times New Roman"/>
          <w:sz w:val="20"/>
        </w:rPr>
        <w:t xml:space="preserve"> University of Medical Sciences, Iran</w:t>
      </w:r>
      <w:r>
        <w:rPr>
          <w:rFonts w:ascii="Times New Roman" w:hAnsi="Times New Roman" w:cs="Times New Roman"/>
          <w:sz w:val="20"/>
        </w:rPr>
        <w:t xml:space="preserve"> and</w:t>
      </w:r>
      <w:r w:rsidRPr="00B85C3D">
        <w:rPr>
          <w:rFonts w:ascii="Times New Roman" w:hAnsi="Times New Roman" w:cs="Times New Roman"/>
          <w:sz w:val="20"/>
        </w:rPr>
        <w:t xml:space="preserve"> graduated as Medical Doctor (</w:t>
      </w:r>
      <w:bookmarkStart w:id="0" w:name="_GoBack"/>
      <w:bookmarkEnd w:id="0"/>
      <w:r w:rsidRPr="00B85C3D">
        <w:rPr>
          <w:rFonts w:ascii="Times New Roman" w:hAnsi="Times New Roman" w:cs="Times New Roman"/>
          <w:sz w:val="20"/>
        </w:rPr>
        <w:t xml:space="preserve">MD) in 2021. Then she joined the research group at the cardiovascular research center, </w:t>
      </w:r>
      <w:proofErr w:type="spellStart"/>
      <w:r w:rsidRPr="00B85C3D">
        <w:rPr>
          <w:rFonts w:ascii="Times New Roman" w:hAnsi="Times New Roman" w:cs="Times New Roman"/>
          <w:sz w:val="20"/>
        </w:rPr>
        <w:t>Alborz</w:t>
      </w:r>
      <w:proofErr w:type="spellEnd"/>
      <w:r w:rsidRPr="00B85C3D">
        <w:rPr>
          <w:rFonts w:ascii="Times New Roman" w:hAnsi="Times New Roman" w:cs="Times New Roman"/>
          <w:sz w:val="20"/>
        </w:rPr>
        <w:t xml:space="preserve"> University of Medical Sciences</w:t>
      </w:r>
      <w:r>
        <w:rPr>
          <w:rFonts w:ascii="Times New Roman" w:hAnsi="Times New Roman" w:cs="Times New Roman"/>
          <w:sz w:val="20"/>
        </w:rPr>
        <w:t xml:space="preserve"> and</w:t>
      </w:r>
      <w:r w:rsidRPr="00B85C3D">
        <w:rPr>
          <w:rFonts w:ascii="Times New Roman" w:hAnsi="Times New Roman" w:cs="Times New Roman"/>
          <w:sz w:val="20"/>
        </w:rPr>
        <w:t xml:space="preserve"> also, works in the emergency of </w:t>
      </w:r>
      <w:proofErr w:type="spellStart"/>
      <w:r w:rsidRPr="00B85C3D">
        <w:rPr>
          <w:rFonts w:ascii="Times New Roman" w:hAnsi="Times New Roman" w:cs="Times New Roman"/>
          <w:sz w:val="20"/>
        </w:rPr>
        <w:t>Kamali</w:t>
      </w:r>
      <w:proofErr w:type="spellEnd"/>
      <w:r w:rsidRPr="00B85C3D">
        <w:rPr>
          <w:rFonts w:ascii="Times New Roman" w:hAnsi="Times New Roman" w:cs="Times New Roman"/>
          <w:sz w:val="20"/>
        </w:rPr>
        <w:t xml:space="preserve"> hospital as an emergency doctor.</w:t>
      </w:r>
      <w:r w:rsidRPr="00B85C3D">
        <w:rPr>
          <w:rFonts w:ascii="Times New Roman" w:hAnsi="Times New Roman" w:cs="Times New Roman"/>
          <w:sz w:val="20"/>
        </w:rPr>
        <w:t xml:space="preserve"> </w:t>
      </w:r>
      <w:r w:rsidRPr="00B85C3D">
        <w:rPr>
          <w:rFonts w:ascii="Times New Roman" w:hAnsi="Times New Roman" w:cs="Times New Roman"/>
          <w:sz w:val="20"/>
        </w:rPr>
        <w:t>She has published several articles in the cardiovascular field since beginning his career as a post-doctoral fellowship in 2022. She is interested in interventional cardiology, cardiac imaging findings, cardiovascular rehabilitation</w:t>
      </w:r>
      <w:r>
        <w:rPr>
          <w:rFonts w:ascii="Times New Roman" w:hAnsi="Times New Roman" w:cs="Times New Roman"/>
          <w:sz w:val="20"/>
        </w:rPr>
        <w:t xml:space="preserve"> and</w:t>
      </w:r>
      <w:r w:rsidRPr="00B85C3D">
        <w:rPr>
          <w:rFonts w:ascii="Times New Roman" w:hAnsi="Times New Roman" w:cs="Times New Roman"/>
          <w:sz w:val="20"/>
        </w:rPr>
        <w:t xml:space="preserve"> new machine-learning-based technology in the cardiovascular field.</w:t>
      </w:r>
    </w:p>
    <w:sectPr w:rsidR="00B85C3D" w:rsidRPr="00B85C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C3D"/>
    <w:rsid w:val="0032354D"/>
    <w:rsid w:val="00474203"/>
    <w:rsid w:val="00535872"/>
    <w:rsid w:val="00924B33"/>
    <w:rsid w:val="00B8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450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2023-03-21T11:49:00Z</dcterms:created>
  <dcterms:modified xsi:type="dcterms:W3CDTF">2023-03-21T12:02:00Z</dcterms:modified>
</cp:coreProperties>
</file>