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7EF" w:rsidRPr="008D2B15" w:rsidRDefault="009D07EF" w:rsidP="008D2B15">
      <w:pPr>
        <w:rPr>
          <w:rFonts w:ascii="Times New Roman" w:hAnsi="Times New Roman" w:cs="Times New Roman"/>
          <w:b/>
          <w:sz w:val="32"/>
          <w:szCs w:val="24"/>
        </w:rPr>
      </w:pPr>
      <w:bookmarkStart w:id="0" w:name="_GoBack"/>
      <w:r w:rsidRPr="008D2B15">
        <w:rPr>
          <w:rFonts w:ascii="Times New Roman" w:hAnsi="Times New Roman" w:cs="Times New Roman"/>
          <w:b/>
          <w:sz w:val="32"/>
          <w:szCs w:val="24"/>
        </w:rPr>
        <w:t>The role of breast milk exosomes in diabetes prevention and the impact of cow milk exosomes on</w:t>
      </w:r>
      <w:r w:rsidR="0093554A">
        <w:rPr>
          <w:rFonts w:ascii="Times New Roman" w:hAnsi="Times New Roman" w:cs="Times New Roman"/>
          <w:b/>
          <w:sz w:val="32"/>
          <w:szCs w:val="24"/>
        </w:rPr>
        <w:t xml:space="preserve"> </w:t>
      </w:r>
      <w:r w:rsidRPr="008D2B15">
        <w:rPr>
          <w:rFonts w:ascii="Times New Roman" w:hAnsi="Times New Roman" w:cs="Times New Roman"/>
          <w:b/>
          <w:sz w:val="32"/>
          <w:szCs w:val="24"/>
        </w:rPr>
        <w:t>β-cell dedifferentiation later in life</w:t>
      </w:r>
    </w:p>
    <w:p w:rsidR="009D07EF" w:rsidRPr="008D2B15" w:rsidRDefault="009D07EF" w:rsidP="008D2B15">
      <w:pPr>
        <w:rPr>
          <w:rFonts w:ascii="Times New Roman" w:hAnsi="Times New Roman" w:cs="Times New Roman"/>
          <w:sz w:val="24"/>
          <w:szCs w:val="24"/>
        </w:rPr>
      </w:pPr>
      <w:proofErr w:type="spellStart"/>
      <w:r w:rsidRPr="008D2B15">
        <w:rPr>
          <w:rFonts w:ascii="Times New Roman" w:hAnsi="Times New Roman" w:cs="Times New Roman"/>
          <w:sz w:val="24"/>
          <w:szCs w:val="24"/>
        </w:rPr>
        <w:t>Bodo</w:t>
      </w:r>
      <w:proofErr w:type="spellEnd"/>
      <w:r w:rsidRPr="008D2B15">
        <w:rPr>
          <w:rFonts w:ascii="Times New Roman" w:hAnsi="Times New Roman" w:cs="Times New Roman"/>
          <w:sz w:val="24"/>
          <w:szCs w:val="24"/>
        </w:rPr>
        <w:t xml:space="preserve"> C. </w:t>
      </w:r>
      <w:proofErr w:type="spellStart"/>
      <w:r w:rsidRPr="008D2B15">
        <w:rPr>
          <w:rFonts w:ascii="Times New Roman" w:hAnsi="Times New Roman" w:cs="Times New Roman"/>
          <w:sz w:val="24"/>
          <w:szCs w:val="24"/>
        </w:rPr>
        <w:t>Melnik</w:t>
      </w:r>
      <w:proofErr w:type="spellEnd"/>
    </w:p>
    <w:p w:rsidR="00BA4A24" w:rsidRPr="008D2B15" w:rsidRDefault="00104C8E" w:rsidP="008D2B15">
      <w:pPr>
        <w:rPr>
          <w:rFonts w:ascii="Times New Roman" w:hAnsi="Times New Roman" w:cs="Times New Roman"/>
          <w:szCs w:val="24"/>
        </w:rPr>
      </w:pPr>
      <w:r>
        <w:rPr>
          <w:rFonts w:ascii="Times New Roman" w:hAnsi="Times New Roman" w:cs="Times New Roman"/>
          <w:szCs w:val="24"/>
        </w:rPr>
        <w:t>University of Osnabru</w:t>
      </w:r>
      <w:r w:rsidR="00BA4A24" w:rsidRPr="008D2B15">
        <w:rPr>
          <w:rFonts w:ascii="Times New Roman" w:hAnsi="Times New Roman" w:cs="Times New Roman"/>
          <w:szCs w:val="24"/>
        </w:rPr>
        <w:t>ck, Germany</w:t>
      </w:r>
    </w:p>
    <w:p w:rsidR="0019048D" w:rsidRPr="008D2B15" w:rsidRDefault="0019048D" w:rsidP="008D2B15">
      <w:pPr>
        <w:jc w:val="center"/>
        <w:rPr>
          <w:rFonts w:ascii="Times New Roman" w:hAnsi="Times New Roman" w:cs="Times New Roman"/>
          <w:b/>
          <w:sz w:val="24"/>
          <w:szCs w:val="24"/>
        </w:rPr>
      </w:pPr>
      <w:r w:rsidRPr="008D2B15">
        <w:rPr>
          <w:rFonts w:ascii="Times New Roman" w:hAnsi="Times New Roman" w:cs="Times New Roman"/>
          <w:b/>
          <w:sz w:val="24"/>
          <w:szCs w:val="24"/>
        </w:rPr>
        <w:t>Abstract</w:t>
      </w:r>
    </w:p>
    <w:p w:rsidR="00BA4A24" w:rsidRPr="008D2B15" w:rsidRDefault="00BA4A24" w:rsidP="008D2B15">
      <w:pPr>
        <w:jc w:val="both"/>
        <w:rPr>
          <w:rFonts w:ascii="Times New Roman" w:hAnsi="Times New Roman" w:cs="Times New Roman"/>
          <w:sz w:val="20"/>
          <w:szCs w:val="24"/>
        </w:rPr>
      </w:pPr>
      <w:r w:rsidRPr="008D2B15">
        <w:rPr>
          <w:rFonts w:ascii="Times New Roman" w:hAnsi="Times New Roman" w:cs="Times New Roman"/>
          <w:sz w:val="20"/>
          <w:szCs w:val="24"/>
        </w:rPr>
        <w:t xml:space="preserve">Recent evidence points to an intensive exosome cross-talk between pancreatic β-cells and towards β-cells by transmitted exosomes from adipocytes, skeletal muscle cells, macrophages and T-lymphcytes. It is thus conceivable that </w:t>
      </w:r>
      <w:r w:rsidR="008D2B15" w:rsidRPr="008D2B15">
        <w:rPr>
          <w:rFonts w:ascii="Times New Roman" w:hAnsi="Times New Roman" w:cs="Times New Roman"/>
          <w:sz w:val="20"/>
          <w:szCs w:val="24"/>
        </w:rPr>
        <w:t xml:space="preserve">Milk Exosomes </w:t>
      </w:r>
      <w:r w:rsidRPr="008D2B15">
        <w:rPr>
          <w:rFonts w:ascii="Times New Roman" w:hAnsi="Times New Roman" w:cs="Times New Roman"/>
          <w:sz w:val="20"/>
          <w:szCs w:val="24"/>
        </w:rPr>
        <w:t xml:space="preserve">(MEX) of human breast milk and their microRNA (miR) cargo also affect postnatal β-cells and promote their proliferation and mass expansion. Translational evidence indicates that human MEX miRs enhance mTORC1/c-Myc-driven β-cell proliferation. It is a matter of concern that maternal obesity, gestational diabetes, caesarean delivery and especially MEX-deficient infant formula feeding disturb physiological MEX miR signalling during the postnatal period thereby increasing the risk of type 2 diabetes later in life. In all mammals, MEX miR signalling fades after weaning. However, humans, who regularly consume pasteurized cow </w:t>
      </w:r>
      <w:r w:rsidR="008D2B15" w:rsidRPr="008D2B15">
        <w:rPr>
          <w:rFonts w:ascii="Times New Roman" w:hAnsi="Times New Roman" w:cs="Times New Roman"/>
          <w:sz w:val="20"/>
          <w:szCs w:val="24"/>
        </w:rPr>
        <w:t>milk,</w:t>
      </w:r>
      <w:r w:rsidRPr="008D2B15">
        <w:rPr>
          <w:rFonts w:ascii="Times New Roman" w:hAnsi="Times New Roman" w:cs="Times New Roman"/>
          <w:sz w:val="20"/>
          <w:szCs w:val="24"/>
        </w:rPr>
        <w:t xml:space="preserve"> are continuously exposed to bioavailable bovine MEX miRs, which are identical in nucleotide sequence with human MEX miRs. Circumstantial evidence supports the view that bovine MEX miRs promote β-cell dedifferentiation back to the mTORC1-driven neonatal immature phenotype with reduced glucos</w:t>
      </w:r>
      <w:r w:rsidR="008D2B15">
        <w:rPr>
          <w:rFonts w:ascii="Times New Roman" w:hAnsi="Times New Roman" w:cs="Times New Roman"/>
          <w:sz w:val="20"/>
          <w:szCs w:val="24"/>
        </w:rPr>
        <w:t>e-stimulated insulin secretion.</w:t>
      </w:r>
      <w:r w:rsidRPr="008D2B15">
        <w:rPr>
          <w:rFonts w:ascii="Times New Roman" w:hAnsi="Times New Roman" w:cs="Times New Roman"/>
          <w:sz w:val="20"/>
          <w:szCs w:val="24"/>
        </w:rPr>
        <w:t xml:space="preserve"> MEX miR signalling, beneficial for the immature postnatal β-cell, turns into a pathog</w:t>
      </w:r>
      <w:r w:rsidR="008D2B15">
        <w:rPr>
          <w:rFonts w:ascii="Times New Roman" w:hAnsi="Times New Roman" w:cs="Times New Roman"/>
          <w:sz w:val="20"/>
          <w:szCs w:val="24"/>
        </w:rPr>
        <w:t>en for the mature adult β-cell.</w:t>
      </w:r>
      <w:r w:rsidRPr="008D2B15">
        <w:rPr>
          <w:rFonts w:ascii="Times New Roman" w:hAnsi="Times New Roman" w:cs="Times New Roman"/>
          <w:sz w:val="20"/>
          <w:szCs w:val="24"/>
        </w:rPr>
        <w:t xml:space="preserve"> The human consumer should not be exposed to diabetogenic MEX and their m</w:t>
      </w:r>
      <w:r w:rsidR="008D2B15">
        <w:rPr>
          <w:rFonts w:ascii="Times New Roman" w:hAnsi="Times New Roman" w:cs="Times New Roman"/>
          <w:sz w:val="20"/>
          <w:szCs w:val="24"/>
        </w:rPr>
        <w:t>iRs after the weaning period.</w:t>
      </w:r>
      <w:r w:rsidRPr="008D2B15">
        <w:rPr>
          <w:rFonts w:ascii="Times New Roman" w:hAnsi="Times New Roman" w:cs="Times New Roman"/>
          <w:sz w:val="20"/>
          <w:szCs w:val="24"/>
        </w:rPr>
        <w:t xml:space="preserve"> Thus, the elimination of bovine MEX and their bioactive miRs is a promising approach for the prevention of type 2 diabetes and other MEX-relate</w:t>
      </w:r>
      <w:r w:rsidR="008D2B15">
        <w:rPr>
          <w:rFonts w:ascii="Times New Roman" w:hAnsi="Times New Roman" w:cs="Times New Roman"/>
          <w:sz w:val="20"/>
          <w:szCs w:val="24"/>
        </w:rPr>
        <w:t>d diseases of civilization.</w:t>
      </w:r>
      <w:r w:rsidRPr="008D2B15">
        <w:rPr>
          <w:rFonts w:ascii="Times New Roman" w:hAnsi="Times New Roman" w:cs="Times New Roman"/>
          <w:sz w:val="20"/>
          <w:szCs w:val="24"/>
        </w:rPr>
        <w:t xml:space="preserve"> </w:t>
      </w:r>
    </w:p>
    <w:p w:rsidR="0019048D" w:rsidRPr="008D2B15" w:rsidRDefault="0019048D" w:rsidP="008D2B15">
      <w:pPr>
        <w:rPr>
          <w:rFonts w:ascii="Times New Roman" w:hAnsi="Times New Roman" w:cs="Times New Roman"/>
          <w:b/>
          <w:sz w:val="24"/>
          <w:szCs w:val="24"/>
        </w:rPr>
      </w:pPr>
      <w:r w:rsidRPr="008D2B15">
        <w:rPr>
          <w:rFonts w:ascii="Times New Roman" w:hAnsi="Times New Roman" w:cs="Times New Roman"/>
          <w:b/>
          <w:sz w:val="24"/>
          <w:szCs w:val="24"/>
        </w:rPr>
        <w:t>Biography</w:t>
      </w:r>
    </w:p>
    <w:p w:rsidR="0019048D" w:rsidRPr="008D2B15" w:rsidRDefault="008D2B15" w:rsidP="008D2B15">
      <w:pPr>
        <w:jc w:val="both"/>
        <w:rPr>
          <w:rFonts w:ascii="Times New Roman" w:hAnsi="Times New Roman" w:cs="Times New Roman"/>
          <w:sz w:val="20"/>
          <w:szCs w:val="24"/>
        </w:rPr>
      </w:pPr>
      <w:proofErr w:type="spellStart"/>
      <w:r w:rsidRPr="008D2B15">
        <w:rPr>
          <w:rFonts w:ascii="Times New Roman" w:hAnsi="Times New Roman" w:cs="Times New Roman"/>
          <w:sz w:val="20"/>
          <w:szCs w:val="24"/>
        </w:rPr>
        <w:t>Bodo</w:t>
      </w:r>
      <w:proofErr w:type="spellEnd"/>
      <w:r w:rsidRPr="008D2B15">
        <w:rPr>
          <w:rFonts w:ascii="Times New Roman" w:hAnsi="Times New Roman" w:cs="Times New Roman"/>
          <w:sz w:val="20"/>
          <w:szCs w:val="24"/>
        </w:rPr>
        <w:t xml:space="preserve"> </w:t>
      </w:r>
      <w:r w:rsidR="00BA4A24" w:rsidRPr="008D2B15">
        <w:rPr>
          <w:rFonts w:ascii="Times New Roman" w:hAnsi="Times New Roman" w:cs="Times New Roman"/>
          <w:sz w:val="20"/>
          <w:szCs w:val="24"/>
        </w:rPr>
        <w:t xml:space="preserve">C. </w:t>
      </w:r>
      <w:proofErr w:type="spellStart"/>
      <w:r w:rsidRPr="008D2B15">
        <w:rPr>
          <w:rFonts w:ascii="Times New Roman" w:hAnsi="Times New Roman" w:cs="Times New Roman"/>
          <w:sz w:val="20"/>
          <w:szCs w:val="24"/>
        </w:rPr>
        <w:t>Melnik</w:t>
      </w:r>
      <w:proofErr w:type="spellEnd"/>
      <w:r w:rsidRPr="008D2B15">
        <w:rPr>
          <w:rFonts w:ascii="Times New Roman" w:hAnsi="Times New Roman" w:cs="Times New Roman"/>
          <w:sz w:val="20"/>
          <w:szCs w:val="24"/>
        </w:rPr>
        <w:t xml:space="preserve"> </w:t>
      </w:r>
      <w:r w:rsidR="00BA4A24" w:rsidRPr="008D2B15">
        <w:rPr>
          <w:rFonts w:ascii="Times New Roman" w:hAnsi="Times New Roman" w:cs="Times New Roman"/>
          <w:sz w:val="20"/>
          <w:szCs w:val="24"/>
        </w:rPr>
        <w:t xml:space="preserve">has completed his medical studies and MD thesis at the age of 26 years from the University of Münster in Germany and thereafter was postdoctoral research fellow at UCSF, School of Medicine. He is senior lecturer at the University of Osnabrück, has published more than 100 papers in reputed journals, </w:t>
      </w:r>
      <w:r>
        <w:rPr>
          <w:rFonts w:ascii="Times New Roman" w:hAnsi="Times New Roman" w:cs="Times New Roman"/>
          <w:sz w:val="20"/>
          <w:szCs w:val="24"/>
        </w:rPr>
        <w:t xml:space="preserve">he </w:t>
      </w:r>
      <w:r w:rsidR="00BA4A24" w:rsidRPr="008D2B15">
        <w:rPr>
          <w:rFonts w:ascii="Times New Roman" w:hAnsi="Times New Roman" w:cs="Times New Roman"/>
          <w:sz w:val="20"/>
          <w:szCs w:val="24"/>
        </w:rPr>
        <w:t>is author of several scientific books and editorial board member of the Journal of Translational Medicine. His major research interest is the molecular biology of milk, milk exosomal RNAs and their function in health and disease, especially type 2 diabetes mellitus.</w:t>
      </w:r>
      <w:bookmarkEnd w:id="0"/>
    </w:p>
    <w:sectPr w:rsidR="0019048D" w:rsidRPr="008D2B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04C8E"/>
    <w:rsid w:val="0019048D"/>
    <w:rsid w:val="004A7066"/>
    <w:rsid w:val="0051569B"/>
    <w:rsid w:val="0055232C"/>
    <w:rsid w:val="00553F53"/>
    <w:rsid w:val="006C2385"/>
    <w:rsid w:val="008D2B15"/>
    <w:rsid w:val="0093554A"/>
    <w:rsid w:val="009D07EF"/>
    <w:rsid w:val="00A41516"/>
    <w:rsid w:val="00B54551"/>
    <w:rsid w:val="00B61700"/>
    <w:rsid w:val="00BA4A24"/>
    <w:rsid w:val="00BC3396"/>
    <w:rsid w:val="00D60B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7</cp:revision>
  <dcterms:created xsi:type="dcterms:W3CDTF">2022-12-09T07:34:00Z</dcterms:created>
  <dcterms:modified xsi:type="dcterms:W3CDTF">2022-12-13T08:46:00Z</dcterms:modified>
</cp:coreProperties>
</file>