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F66" w:rsidRPr="002139A0" w:rsidRDefault="00F87864" w:rsidP="002139A0">
      <w:pPr>
        <w:rPr>
          <w:rFonts w:ascii="Times New Roman" w:hAnsi="Times New Roman" w:cs="Times New Roman"/>
          <w:b/>
          <w:sz w:val="32"/>
          <w:szCs w:val="24"/>
        </w:rPr>
      </w:pPr>
      <w:bookmarkStart w:id="0" w:name="_GoBack"/>
      <w:r w:rsidRPr="002139A0">
        <w:rPr>
          <w:rFonts w:ascii="Times New Roman" w:hAnsi="Times New Roman" w:cs="Times New Roman"/>
          <w:b/>
          <w:sz w:val="32"/>
          <w:szCs w:val="24"/>
        </w:rPr>
        <w:t xml:space="preserve">Effect of lipid-based multiple micronutrients supplementation in underweight </w:t>
      </w:r>
      <w:proofErr w:type="spellStart"/>
      <w:r w:rsidRPr="002139A0">
        <w:rPr>
          <w:rFonts w:ascii="Times New Roman" w:hAnsi="Times New Roman" w:cs="Times New Roman"/>
          <w:b/>
          <w:sz w:val="32"/>
          <w:szCs w:val="24"/>
        </w:rPr>
        <w:t>primigravida</w:t>
      </w:r>
      <w:proofErr w:type="spellEnd"/>
      <w:r w:rsidRPr="002139A0">
        <w:rPr>
          <w:rFonts w:ascii="Times New Roman" w:hAnsi="Times New Roman" w:cs="Times New Roman"/>
          <w:b/>
          <w:sz w:val="32"/>
          <w:szCs w:val="24"/>
        </w:rPr>
        <w:t xml:space="preserve"> pre-</w:t>
      </w:r>
      <w:proofErr w:type="spellStart"/>
      <w:r w:rsidRPr="002139A0">
        <w:rPr>
          <w:rFonts w:ascii="Times New Roman" w:hAnsi="Times New Roman" w:cs="Times New Roman"/>
          <w:b/>
          <w:sz w:val="32"/>
          <w:szCs w:val="24"/>
        </w:rPr>
        <w:t>eclamptic</w:t>
      </w:r>
      <w:proofErr w:type="spellEnd"/>
      <w:r w:rsidRPr="002139A0">
        <w:rPr>
          <w:rFonts w:ascii="Times New Roman" w:hAnsi="Times New Roman" w:cs="Times New Roman"/>
          <w:b/>
          <w:sz w:val="32"/>
          <w:szCs w:val="24"/>
        </w:rPr>
        <w:t xml:space="preserve"> women on maternal and pregnancy outcomes: </w:t>
      </w:r>
      <w:r w:rsidR="002139A0" w:rsidRPr="002139A0">
        <w:rPr>
          <w:rFonts w:ascii="Times New Roman" w:hAnsi="Times New Roman" w:cs="Times New Roman"/>
          <w:b/>
          <w:sz w:val="32"/>
          <w:szCs w:val="24"/>
        </w:rPr>
        <w:t xml:space="preserve">Randomized </w:t>
      </w:r>
      <w:r w:rsidRPr="002139A0">
        <w:rPr>
          <w:rFonts w:ascii="Times New Roman" w:hAnsi="Times New Roman" w:cs="Times New Roman"/>
          <w:b/>
          <w:sz w:val="32"/>
          <w:szCs w:val="24"/>
        </w:rPr>
        <w:t>clinical trial</w:t>
      </w:r>
    </w:p>
    <w:p w:rsidR="00EB5F66" w:rsidRPr="002139A0" w:rsidRDefault="00EB5F66" w:rsidP="002139A0">
      <w:pPr>
        <w:rPr>
          <w:rFonts w:ascii="Times New Roman" w:hAnsi="Times New Roman" w:cs="Times New Roman"/>
          <w:sz w:val="24"/>
          <w:szCs w:val="24"/>
        </w:rPr>
      </w:pPr>
      <w:r w:rsidRPr="002139A0">
        <w:rPr>
          <w:rFonts w:ascii="Times New Roman" w:hAnsi="Times New Roman" w:cs="Times New Roman"/>
          <w:sz w:val="24"/>
          <w:szCs w:val="24"/>
        </w:rPr>
        <w:t xml:space="preserve">Nabila </w:t>
      </w:r>
      <w:proofErr w:type="spellStart"/>
      <w:r w:rsidRPr="002139A0">
        <w:rPr>
          <w:rFonts w:ascii="Times New Roman" w:hAnsi="Times New Roman" w:cs="Times New Roman"/>
          <w:sz w:val="24"/>
          <w:szCs w:val="24"/>
        </w:rPr>
        <w:t>Sher</w:t>
      </w:r>
      <w:proofErr w:type="spellEnd"/>
      <w:r w:rsidRPr="002139A0">
        <w:rPr>
          <w:rFonts w:ascii="Times New Roman" w:hAnsi="Times New Roman" w:cs="Times New Roman"/>
          <w:sz w:val="24"/>
          <w:szCs w:val="24"/>
        </w:rPr>
        <w:t xml:space="preserve"> </w:t>
      </w:r>
    </w:p>
    <w:p w:rsidR="00EB5F66" w:rsidRPr="002139A0" w:rsidRDefault="002139A0" w:rsidP="002139A0">
      <w:pPr>
        <w:rPr>
          <w:rFonts w:ascii="Times New Roman" w:hAnsi="Times New Roman" w:cs="Times New Roman"/>
          <w:szCs w:val="24"/>
        </w:rPr>
      </w:pPr>
      <w:r w:rsidRPr="002139A0">
        <w:rPr>
          <w:rFonts w:ascii="Times New Roman" w:hAnsi="Times New Roman" w:cs="Times New Roman"/>
          <w:szCs w:val="24"/>
        </w:rPr>
        <w:t>Khyber Medical University</w:t>
      </w:r>
      <w:r w:rsidR="00EB5F66" w:rsidRPr="002139A0">
        <w:rPr>
          <w:rFonts w:ascii="Times New Roman" w:hAnsi="Times New Roman" w:cs="Times New Roman"/>
          <w:szCs w:val="24"/>
        </w:rPr>
        <w:t>, Pakistan</w:t>
      </w:r>
    </w:p>
    <w:p w:rsidR="0019048D" w:rsidRPr="002139A0" w:rsidRDefault="0019048D" w:rsidP="002139A0">
      <w:pPr>
        <w:jc w:val="center"/>
        <w:rPr>
          <w:rFonts w:ascii="Times New Roman" w:hAnsi="Times New Roman" w:cs="Times New Roman"/>
          <w:b/>
          <w:sz w:val="24"/>
          <w:szCs w:val="24"/>
        </w:rPr>
      </w:pPr>
      <w:r w:rsidRPr="002139A0">
        <w:rPr>
          <w:rFonts w:ascii="Times New Roman" w:hAnsi="Times New Roman" w:cs="Times New Roman"/>
          <w:b/>
          <w:sz w:val="24"/>
          <w:szCs w:val="24"/>
        </w:rPr>
        <w:t>Abstract</w:t>
      </w:r>
    </w:p>
    <w:p w:rsidR="00EB5F66" w:rsidRPr="002139A0" w:rsidRDefault="00EB5F66" w:rsidP="002139A0">
      <w:pPr>
        <w:jc w:val="both"/>
        <w:rPr>
          <w:rFonts w:ascii="Times New Roman" w:hAnsi="Times New Roman" w:cs="Times New Roman"/>
          <w:sz w:val="20"/>
          <w:szCs w:val="24"/>
        </w:rPr>
      </w:pPr>
      <w:r w:rsidRPr="002139A0">
        <w:rPr>
          <w:rFonts w:ascii="Times New Roman" w:hAnsi="Times New Roman" w:cs="Times New Roman"/>
          <w:b/>
          <w:sz w:val="20"/>
          <w:szCs w:val="24"/>
        </w:rPr>
        <w:t xml:space="preserve">Background and </w:t>
      </w:r>
      <w:r w:rsidR="002139A0" w:rsidRPr="002139A0">
        <w:rPr>
          <w:rFonts w:ascii="Times New Roman" w:hAnsi="Times New Roman" w:cs="Times New Roman"/>
          <w:b/>
          <w:sz w:val="20"/>
          <w:szCs w:val="24"/>
        </w:rPr>
        <w:t>objectives</w:t>
      </w:r>
      <w:r w:rsidRPr="002139A0">
        <w:rPr>
          <w:rFonts w:ascii="Times New Roman" w:hAnsi="Times New Roman" w:cs="Times New Roman"/>
          <w:b/>
          <w:sz w:val="20"/>
          <w:szCs w:val="24"/>
        </w:rPr>
        <w:t>:</w:t>
      </w:r>
      <w:r w:rsidRPr="002139A0">
        <w:rPr>
          <w:rFonts w:ascii="Times New Roman" w:hAnsi="Times New Roman" w:cs="Times New Roman"/>
          <w:sz w:val="20"/>
          <w:szCs w:val="24"/>
        </w:rPr>
        <w:t xml:space="preserve"> In pre-</w:t>
      </w:r>
      <w:proofErr w:type="spellStart"/>
      <w:r w:rsidRPr="002139A0">
        <w:rPr>
          <w:rFonts w:ascii="Times New Roman" w:hAnsi="Times New Roman" w:cs="Times New Roman"/>
          <w:sz w:val="20"/>
          <w:szCs w:val="24"/>
        </w:rPr>
        <w:t>eclampsia</w:t>
      </w:r>
      <w:proofErr w:type="spellEnd"/>
      <w:r w:rsidRPr="002139A0">
        <w:rPr>
          <w:rFonts w:ascii="Times New Roman" w:hAnsi="Times New Roman" w:cs="Times New Roman"/>
          <w:sz w:val="20"/>
          <w:szCs w:val="24"/>
        </w:rPr>
        <w:t xml:space="preserve">, restricted blood supply due to the lack of trophoblastic cell invasion and spiral artery remodeling is responsible for adverse pregnancies and maternal outcomes, which is added to by maternal undernutrition. This study was designed to investigate the effects of lipid-based supplements (LNS-PLW) on pregnancy and maternal outcomes in underweight primigravida pre-eclamptic women. </w:t>
      </w:r>
    </w:p>
    <w:p w:rsidR="00EB5F66" w:rsidRPr="002139A0" w:rsidRDefault="00EB5F66" w:rsidP="002139A0">
      <w:pPr>
        <w:jc w:val="both"/>
        <w:rPr>
          <w:rFonts w:ascii="Times New Roman" w:hAnsi="Times New Roman" w:cs="Times New Roman"/>
          <w:sz w:val="20"/>
          <w:szCs w:val="24"/>
        </w:rPr>
      </w:pPr>
      <w:r w:rsidRPr="002139A0">
        <w:rPr>
          <w:rFonts w:ascii="Times New Roman" w:hAnsi="Times New Roman" w:cs="Times New Roman"/>
          <w:b/>
          <w:sz w:val="20"/>
          <w:szCs w:val="24"/>
        </w:rPr>
        <w:t xml:space="preserve">Materials and </w:t>
      </w:r>
      <w:r w:rsidR="002139A0" w:rsidRPr="002139A0">
        <w:rPr>
          <w:rFonts w:ascii="Times New Roman" w:hAnsi="Times New Roman" w:cs="Times New Roman"/>
          <w:b/>
          <w:sz w:val="20"/>
          <w:szCs w:val="24"/>
        </w:rPr>
        <w:t>methods</w:t>
      </w:r>
      <w:r w:rsidRPr="002139A0">
        <w:rPr>
          <w:rFonts w:ascii="Times New Roman" w:hAnsi="Times New Roman" w:cs="Times New Roman"/>
          <w:b/>
          <w:sz w:val="20"/>
          <w:szCs w:val="24"/>
        </w:rPr>
        <w:t>:</w:t>
      </w:r>
      <w:r w:rsidRPr="002139A0">
        <w:rPr>
          <w:rFonts w:ascii="Times New Roman" w:hAnsi="Times New Roman" w:cs="Times New Roman"/>
          <w:sz w:val="20"/>
          <w:szCs w:val="24"/>
        </w:rPr>
        <w:t xml:space="preserve"> A total of 60 pre-eclamptic, underweight primigravida women from the antenatal units of tertiary care hospitals in the Khyber Pakhtunkhwa Province, Pakistan, were randomly divided into two groups (Group 1 and Group 2). The participants of both groups were receiving routine treatment for pre-eclampsia: iron (60 mgs) and folic acid (400 ug) IFA daily. Group 2 was given an additional sachet of 75 gm LNS-PLW daily till delivery. The pregnancy outcomes of both groups were recorded. The clinical parameters, </w:t>
      </w:r>
      <w:proofErr w:type="spellStart"/>
      <w:r w:rsidRPr="002139A0">
        <w:rPr>
          <w:rFonts w:ascii="Times New Roman" w:hAnsi="Times New Roman" w:cs="Times New Roman"/>
          <w:sz w:val="20"/>
          <w:szCs w:val="24"/>
        </w:rPr>
        <w:t>hemoglobin</w:t>
      </w:r>
      <w:proofErr w:type="spellEnd"/>
      <w:r w:rsidRPr="002139A0">
        <w:rPr>
          <w:rFonts w:ascii="Times New Roman" w:hAnsi="Times New Roman" w:cs="Times New Roman"/>
          <w:sz w:val="20"/>
          <w:szCs w:val="24"/>
        </w:rPr>
        <w:t xml:space="preserve">, platelet count and proteinuria were measured at recruitment. </w:t>
      </w:r>
    </w:p>
    <w:p w:rsidR="00EB5F66" w:rsidRPr="002139A0" w:rsidRDefault="00EB5F66" w:rsidP="002139A0">
      <w:pPr>
        <w:jc w:val="both"/>
        <w:rPr>
          <w:rFonts w:ascii="Times New Roman" w:hAnsi="Times New Roman" w:cs="Times New Roman"/>
          <w:sz w:val="20"/>
          <w:szCs w:val="24"/>
        </w:rPr>
      </w:pPr>
      <w:r w:rsidRPr="002139A0">
        <w:rPr>
          <w:rFonts w:ascii="Times New Roman" w:hAnsi="Times New Roman" w:cs="Times New Roman"/>
          <w:b/>
          <w:sz w:val="20"/>
          <w:szCs w:val="24"/>
        </w:rPr>
        <w:t>Results:</w:t>
      </w:r>
      <w:r w:rsidRPr="002139A0">
        <w:rPr>
          <w:rFonts w:ascii="Times New Roman" w:hAnsi="Times New Roman" w:cs="Times New Roman"/>
          <w:sz w:val="20"/>
          <w:szCs w:val="24"/>
        </w:rPr>
        <w:t xml:space="preserve"> The percentage of live births in Group 2 was 93% compared to 92% in Group 1. There were more normal vaginal deliveries (NVDs) in Group 2 compared to Group 1 (Group 2, 78% NVD; group 1, 69% NVD). In Group 1, 4% of the participants developed eclampsia. The frequency of cesarean sections was 8/26 (31%) in Group 1 and 6/28 (22%) in Group 2. The number of </w:t>
      </w:r>
      <w:r w:rsidR="002139A0" w:rsidRPr="002139A0">
        <w:rPr>
          <w:rFonts w:ascii="Times New Roman" w:hAnsi="Times New Roman" w:cs="Times New Roman"/>
          <w:sz w:val="20"/>
          <w:szCs w:val="24"/>
        </w:rPr>
        <w:t>Intra</w:t>
      </w:r>
      <w:r w:rsidR="002139A0">
        <w:rPr>
          <w:rFonts w:ascii="Times New Roman" w:hAnsi="Times New Roman" w:cs="Times New Roman"/>
          <w:sz w:val="20"/>
          <w:szCs w:val="24"/>
        </w:rPr>
        <w:t xml:space="preserve"> </w:t>
      </w:r>
      <w:r w:rsidR="002139A0" w:rsidRPr="002139A0">
        <w:rPr>
          <w:rFonts w:ascii="Times New Roman" w:hAnsi="Times New Roman" w:cs="Times New Roman"/>
          <w:sz w:val="20"/>
          <w:szCs w:val="24"/>
        </w:rPr>
        <w:t xml:space="preserve">Uterine Deaths </w:t>
      </w:r>
      <w:r w:rsidRPr="002139A0">
        <w:rPr>
          <w:rFonts w:ascii="Times New Roman" w:hAnsi="Times New Roman" w:cs="Times New Roman"/>
          <w:sz w:val="20"/>
          <w:szCs w:val="24"/>
        </w:rPr>
        <w:t xml:space="preserve">(IUDs) was only 1/28 (4%) in Group 2, while it was 2/26 (8%) in Group 1. The gestational age at delivery significantly improved with LNS-PLW supplementation (Group 2, 38.64 ± 0.78 weeks; Group 1, 36.88 ± 1.55 weeks, p-value 0.006). The Apgar score (Group 2, 9.3; Group 1, 8.4) and the birth weight of the babies improved with maternal supplementation with LNS-PLW (Group 2, 38.64 ± 0.78 weeks: Group 1, 36.88 ± 1.55; p-value 0.003). There was no significant difference in systolic blood pressure, while diastolic blood pressure (Group 2, 89.57 ± 2.08 mmHg; Group 1, 92.17 ± 5.18 mmHg, p-value 0.025) showed significant improvement with LNS-PLW supplementation. The hemoglobin concentration increased with the LNS-PLW supplement consumed in Group 2 (Group 2, 12.15 ± 0.78 g/dL; Group </w:t>
      </w:r>
      <w:r w:rsidR="002139A0">
        <w:rPr>
          <w:rFonts w:ascii="Times New Roman" w:hAnsi="Times New Roman" w:cs="Times New Roman"/>
          <w:sz w:val="20"/>
          <w:szCs w:val="24"/>
        </w:rPr>
        <w:t>1, 11.39 ± 0.48 g/</w:t>
      </w:r>
      <w:proofErr w:type="spellStart"/>
      <w:r w:rsidR="002139A0">
        <w:rPr>
          <w:rFonts w:ascii="Times New Roman" w:hAnsi="Times New Roman" w:cs="Times New Roman"/>
          <w:sz w:val="20"/>
          <w:szCs w:val="24"/>
        </w:rPr>
        <w:t>dL</w:t>
      </w:r>
      <w:proofErr w:type="spellEnd"/>
      <w:r w:rsidR="002139A0">
        <w:rPr>
          <w:rFonts w:ascii="Times New Roman" w:hAnsi="Times New Roman" w:cs="Times New Roman"/>
          <w:sz w:val="20"/>
          <w:szCs w:val="24"/>
        </w:rPr>
        <w:t>, p-value&lt;</w:t>
      </w:r>
      <w:r w:rsidRPr="002139A0">
        <w:rPr>
          <w:rFonts w:ascii="Times New Roman" w:hAnsi="Times New Roman" w:cs="Times New Roman"/>
          <w:sz w:val="20"/>
          <w:szCs w:val="24"/>
        </w:rPr>
        <w:t>0.001). However, no significant difference among the platelet counts of the two groups was observed.</w:t>
      </w:r>
    </w:p>
    <w:p w:rsidR="00EB5F66" w:rsidRPr="002139A0" w:rsidRDefault="00EB5F66" w:rsidP="002139A0">
      <w:pPr>
        <w:jc w:val="both"/>
        <w:rPr>
          <w:rFonts w:ascii="Times New Roman" w:hAnsi="Times New Roman" w:cs="Times New Roman"/>
          <w:sz w:val="20"/>
          <w:szCs w:val="24"/>
        </w:rPr>
      </w:pPr>
      <w:r w:rsidRPr="002139A0">
        <w:rPr>
          <w:rFonts w:ascii="Times New Roman" w:hAnsi="Times New Roman" w:cs="Times New Roman"/>
          <w:b/>
          <w:sz w:val="20"/>
          <w:szCs w:val="24"/>
        </w:rPr>
        <w:t>Conclusions:</w:t>
      </w:r>
      <w:r w:rsidRPr="002139A0">
        <w:rPr>
          <w:rFonts w:ascii="Times New Roman" w:hAnsi="Times New Roman" w:cs="Times New Roman"/>
          <w:sz w:val="20"/>
          <w:szCs w:val="24"/>
        </w:rPr>
        <w:t xml:space="preserve"> The pregnancy and maternal outcomes of underweight pre-eclamptic women can be improved by the prenatal daily supplementation of LNS-PLW during pregnancy, along with IFA and regular antenatal care and follow-up. </w:t>
      </w:r>
    </w:p>
    <w:p w:rsidR="0009591C" w:rsidRPr="002139A0" w:rsidRDefault="0019048D" w:rsidP="002139A0">
      <w:pPr>
        <w:rPr>
          <w:rFonts w:ascii="Times New Roman" w:hAnsi="Times New Roman" w:cs="Times New Roman"/>
          <w:b/>
          <w:sz w:val="24"/>
          <w:szCs w:val="24"/>
        </w:rPr>
      </w:pPr>
      <w:r w:rsidRPr="002139A0">
        <w:rPr>
          <w:rFonts w:ascii="Times New Roman" w:hAnsi="Times New Roman" w:cs="Times New Roman"/>
          <w:b/>
          <w:sz w:val="24"/>
          <w:szCs w:val="24"/>
        </w:rPr>
        <w:t>Biography</w:t>
      </w:r>
    </w:p>
    <w:p w:rsidR="0019048D" w:rsidRPr="002139A0" w:rsidRDefault="0009591C" w:rsidP="002139A0">
      <w:pPr>
        <w:jc w:val="both"/>
        <w:rPr>
          <w:rFonts w:ascii="Times New Roman" w:hAnsi="Times New Roman" w:cs="Times New Roman"/>
          <w:sz w:val="20"/>
          <w:szCs w:val="24"/>
        </w:rPr>
      </w:pPr>
      <w:r w:rsidRPr="002139A0">
        <w:rPr>
          <w:rFonts w:ascii="Times New Roman" w:hAnsi="Times New Roman" w:cs="Times New Roman"/>
          <w:sz w:val="20"/>
          <w:szCs w:val="24"/>
        </w:rPr>
        <w:t>Nabila Sher studied in Biochemistry Department at Khyber Girls Medical College which is located in Peshawar, Pakistan.</w:t>
      </w:r>
      <w:bookmarkEnd w:id="0"/>
    </w:p>
    <w:sectPr w:rsidR="0019048D" w:rsidRPr="002139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054765"/>
    <w:multiLevelType w:val="hybridMultilevel"/>
    <w:tmpl w:val="807EF7F6"/>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1">
    <w:nsid w:val="6A0B7098"/>
    <w:multiLevelType w:val="hybridMultilevel"/>
    <w:tmpl w:val="9E940456"/>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09591C"/>
    <w:rsid w:val="0019048D"/>
    <w:rsid w:val="002139A0"/>
    <w:rsid w:val="004A7066"/>
    <w:rsid w:val="0051569B"/>
    <w:rsid w:val="0055232C"/>
    <w:rsid w:val="00553F53"/>
    <w:rsid w:val="006C2385"/>
    <w:rsid w:val="009D07EF"/>
    <w:rsid w:val="00A41516"/>
    <w:rsid w:val="00B54551"/>
    <w:rsid w:val="00B61700"/>
    <w:rsid w:val="00BA4A24"/>
    <w:rsid w:val="00D60BE4"/>
    <w:rsid w:val="00EB5F66"/>
    <w:rsid w:val="00F8786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75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434</Words>
  <Characters>2477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2022-12-09T08:30:00Z</dcterms:created>
  <dcterms:modified xsi:type="dcterms:W3CDTF">2022-12-13T10:14:00Z</dcterms:modified>
</cp:coreProperties>
</file>