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89" w:rsidRPr="00355D66" w:rsidRDefault="00736322" w:rsidP="00355D66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proofErr w:type="spellStart"/>
      <w:r w:rsidRPr="00355D66">
        <w:rPr>
          <w:rFonts w:ascii="Times New Roman" w:hAnsi="Times New Roman" w:cs="Times New Roman"/>
          <w:b/>
          <w:sz w:val="32"/>
          <w:szCs w:val="24"/>
        </w:rPr>
        <w:t>Guanfacine</w:t>
      </w:r>
      <w:proofErr w:type="spellEnd"/>
      <w:r w:rsidRPr="00355D66">
        <w:rPr>
          <w:rFonts w:ascii="Times New Roman" w:hAnsi="Times New Roman" w:cs="Times New Roman"/>
          <w:b/>
          <w:sz w:val="32"/>
          <w:szCs w:val="24"/>
        </w:rPr>
        <w:t xml:space="preserve"> normalizes the overexpression of presynaptic α-2A </w:t>
      </w:r>
      <w:proofErr w:type="spellStart"/>
      <w:r w:rsidRPr="00355D66">
        <w:rPr>
          <w:rFonts w:ascii="Times New Roman" w:hAnsi="Times New Roman" w:cs="Times New Roman"/>
          <w:b/>
          <w:sz w:val="32"/>
          <w:szCs w:val="24"/>
        </w:rPr>
        <w:t>adrenoceptor</w:t>
      </w:r>
      <w:proofErr w:type="spellEnd"/>
      <w:r w:rsidRPr="00355D66">
        <w:rPr>
          <w:rFonts w:ascii="Times New Roman" w:hAnsi="Times New Roman" w:cs="Times New Roman"/>
          <w:b/>
          <w:sz w:val="32"/>
          <w:szCs w:val="24"/>
        </w:rPr>
        <w:t xml:space="preserve"> </w:t>
      </w:r>
      <w:proofErr w:type="spellStart"/>
      <w:r w:rsidRPr="00355D66">
        <w:rPr>
          <w:rFonts w:ascii="Times New Roman" w:hAnsi="Times New Roman" w:cs="Times New Roman"/>
          <w:b/>
          <w:sz w:val="32"/>
          <w:szCs w:val="24"/>
        </w:rPr>
        <w:t>signaling</w:t>
      </w:r>
      <w:proofErr w:type="spellEnd"/>
      <w:r w:rsidRPr="00355D66">
        <w:rPr>
          <w:rFonts w:ascii="Times New Roman" w:hAnsi="Times New Roman" w:cs="Times New Roman"/>
          <w:b/>
          <w:sz w:val="32"/>
          <w:szCs w:val="24"/>
        </w:rPr>
        <w:t xml:space="preserve"> and ameliorates neuropathic pain in a chronic </w:t>
      </w:r>
      <w:r w:rsidR="0074318D">
        <w:rPr>
          <w:rFonts w:ascii="Times New Roman" w:hAnsi="Times New Roman" w:cs="Times New Roman"/>
          <w:b/>
          <w:sz w:val="32"/>
          <w:szCs w:val="24"/>
        </w:rPr>
        <w:t>animal model of type 1 diabetes</w:t>
      </w:r>
    </w:p>
    <w:p w:rsidR="00D95989" w:rsidRPr="00355D66" w:rsidRDefault="00D95989" w:rsidP="00355D6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55D66">
        <w:rPr>
          <w:rFonts w:ascii="Times New Roman" w:hAnsi="Times New Roman" w:cs="Times New Roman"/>
          <w:sz w:val="24"/>
          <w:szCs w:val="24"/>
        </w:rPr>
        <w:t>Neha</w:t>
      </w:r>
      <w:proofErr w:type="spellEnd"/>
      <w:r w:rsidRPr="00355D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5D66">
        <w:rPr>
          <w:rFonts w:ascii="Times New Roman" w:hAnsi="Times New Roman" w:cs="Times New Roman"/>
          <w:sz w:val="24"/>
          <w:szCs w:val="24"/>
        </w:rPr>
        <w:t>Munawar</w:t>
      </w:r>
      <w:proofErr w:type="spellEnd"/>
      <w:r w:rsidRPr="00355D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989" w:rsidRPr="00355D66" w:rsidRDefault="00D95989" w:rsidP="00355D66">
      <w:pPr>
        <w:rPr>
          <w:rFonts w:ascii="Times New Roman" w:hAnsi="Times New Roman" w:cs="Times New Roman"/>
          <w:szCs w:val="24"/>
        </w:rPr>
      </w:pPr>
      <w:r w:rsidRPr="00355D66">
        <w:rPr>
          <w:rFonts w:ascii="Times New Roman" w:hAnsi="Times New Roman" w:cs="Times New Roman"/>
          <w:szCs w:val="24"/>
        </w:rPr>
        <w:t xml:space="preserve">Kuwait University, Kuwait </w:t>
      </w:r>
    </w:p>
    <w:p w:rsidR="0019048D" w:rsidRPr="00355D66" w:rsidRDefault="0019048D" w:rsidP="00355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D66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95989" w:rsidRPr="00355D66" w:rsidRDefault="00D95989" w:rsidP="00355D66">
      <w:pPr>
        <w:jc w:val="both"/>
        <w:rPr>
          <w:rFonts w:ascii="Times New Roman" w:hAnsi="Times New Roman" w:cs="Times New Roman"/>
          <w:sz w:val="20"/>
          <w:szCs w:val="24"/>
        </w:rPr>
      </w:pPr>
      <w:r w:rsidRPr="00355D66">
        <w:rPr>
          <w:rFonts w:ascii="Times New Roman" w:hAnsi="Times New Roman" w:cs="Times New Roman"/>
          <w:b/>
          <w:sz w:val="20"/>
          <w:szCs w:val="24"/>
        </w:rPr>
        <w:t>Background:</w:t>
      </w:r>
      <w:r w:rsidRPr="00355D66">
        <w:rPr>
          <w:rFonts w:ascii="Times New Roman" w:hAnsi="Times New Roman" w:cs="Times New Roman"/>
          <w:sz w:val="20"/>
          <w:szCs w:val="24"/>
        </w:rPr>
        <w:t xml:space="preserve"> Diabetes is associated with several complications, including neuropathic pain, which is difficult to manage with currently available drugs. Descending noradrenergic neurons possess antinociceptive activity; however, their involvement in diabetic neuropathic pain remains to be explored. </w:t>
      </w:r>
    </w:p>
    <w:p w:rsidR="00D95989" w:rsidRPr="00355D66" w:rsidRDefault="00D95989" w:rsidP="00355D66">
      <w:pPr>
        <w:jc w:val="both"/>
        <w:rPr>
          <w:rFonts w:ascii="Times New Roman" w:hAnsi="Times New Roman" w:cs="Times New Roman"/>
          <w:sz w:val="20"/>
          <w:szCs w:val="24"/>
        </w:rPr>
      </w:pPr>
      <w:r w:rsidRPr="00355D66">
        <w:rPr>
          <w:rFonts w:ascii="Times New Roman" w:hAnsi="Times New Roman" w:cs="Times New Roman"/>
          <w:b/>
          <w:sz w:val="20"/>
          <w:szCs w:val="24"/>
        </w:rPr>
        <w:t>Methods:</w:t>
      </w:r>
      <w:r w:rsidRPr="00355D66">
        <w:rPr>
          <w:rFonts w:ascii="Times New Roman" w:hAnsi="Times New Roman" w:cs="Times New Roman"/>
          <w:sz w:val="20"/>
          <w:szCs w:val="24"/>
        </w:rPr>
        <w:t xml:space="preserve"> To infer the regulatory role of this system, we examined as a function of diabetes, the expression and localization of alpha-2A </w:t>
      </w:r>
      <w:proofErr w:type="spellStart"/>
      <w:r w:rsidRPr="00355D66">
        <w:rPr>
          <w:rFonts w:ascii="Times New Roman" w:hAnsi="Times New Roman" w:cs="Times New Roman"/>
          <w:sz w:val="20"/>
          <w:szCs w:val="24"/>
        </w:rPr>
        <w:t>adrenoceptors</w:t>
      </w:r>
      <w:proofErr w:type="spellEnd"/>
      <w:r w:rsidRPr="00355D66">
        <w:rPr>
          <w:rFonts w:ascii="Times New Roman" w:hAnsi="Times New Roman" w:cs="Times New Roman"/>
          <w:sz w:val="20"/>
          <w:szCs w:val="24"/>
        </w:rPr>
        <w:t xml:space="preserve"> (α2-AR) in the dorsal root ganglia and key regions of the central nervous system, including pons and lumbar segment of the spinal cord </w:t>
      </w:r>
      <w:r w:rsidR="00355D66">
        <w:rPr>
          <w:rFonts w:ascii="Times New Roman" w:hAnsi="Times New Roman" w:cs="Times New Roman"/>
          <w:sz w:val="20"/>
          <w:szCs w:val="24"/>
        </w:rPr>
        <w:t xml:space="preserve">using </w:t>
      </w:r>
      <w:proofErr w:type="spellStart"/>
      <w:r w:rsidR="00355D66">
        <w:rPr>
          <w:rFonts w:ascii="Times New Roman" w:hAnsi="Times New Roman" w:cs="Times New Roman"/>
          <w:sz w:val="20"/>
          <w:szCs w:val="24"/>
        </w:rPr>
        <w:t>qRT</w:t>
      </w:r>
      <w:proofErr w:type="spellEnd"/>
      <w:r w:rsidR="00355D66">
        <w:rPr>
          <w:rFonts w:ascii="Times New Roman" w:hAnsi="Times New Roman" w:cs="Times New Roman"/>
          <w:sz w:val="20"/>
          <w:szCs w:val="24"/>
        </w:rPr>
        <w:t>-PCR, Western blotting</w:t>
      </w:r>
      <w:r w:rsidRPr="00355D66">
        <w:rPr>
          <w:rFonts w:ascii="Times New Roman" w:hAnsi="Times New Roman" w:cs="Times New Roman"/>
          <w:sz w:val="20"/>
          <w:szCs w:val="24"/>
        </w:rPr>
        <w:t xml:space="preserve"> and immunofluorescence-based techniques. </w:t>
      </w:r>
    </w:p>
    <w:p w:rsidR="00D95989" w:rsidRPr="00355D66" w:rsidRDefault="00D95989" w:rsidP="00355D66">
      <w:pPr>
        <w:jc w:val="both"/>
        <w:rPr>
          <w:rFonts w:ascii="Times New Roman" w:hAnsi="Times New Roman" w:cs="Times New Roman"/>
          <w:sz w:val="20"/>
          <w:szCs w:val="24"/>
        </w:rPr>
      </w:pPr>
      <w:r w:rsidRPr="00355D66">
        <w:rPr>
          <w:rFonts w:ascii="Times New Roman" w:hAnsi="Times New Roman" w:cs="Times New Roman"/>
          <w:b/>
          <w:sz w:val="20"/>
          <w:szCs w:val="24"/>
        </w:rPr>
        <w:t>Results:</w:t>
      </w:r>
      <w:r w:rsidRPr="00355D66">
        <w:rPr>
          <w:rFonts w:ascii="Times New Roman" w:hAnsi="Times New Roman" w:cs="Times New Roman"/>
          <w:sz w:val="20"/>
          <w:szCs w:val="24"/>
        </w:rPr>
        <w:t xml:space="preserve"> The data revealed that presynaptic synaptosomal-associated protein-25 labeled α2-AR in the central and peripheral nervous system of streptozotocin diabetic rats was upregulated both at the mRNA and protein levels. Interestingly, the levels of postsynaptic density protein-95 labeled postsynaptic neuronal α2-AR remained unaltered as a function of diabetes. These biochemical abnormalities in the noradrenergic system of diabetic animals were associated with increased pain sensitivity as typified by the presence of thermal hyperalgesia and cold/mechanical allodynia. The pain-related behaviors were assessed using Hargreaves apparatus, cold-plate and dynamic plantar aesthesiometer. Chronically administered guanfacine, a selective α2-AR agonist, to diabetic </w:t>
      </w:r>
      <w:r w:rsidR="00355D66" w:rsidRPr="00355D66">
        <w:rPr>
          <w:rFonts w:ascii="Times New Roman" w:hAnsi="Times New Roman" w:cs="Times New Roman"/>
          <w:sz w:val="20"/>
          <w:szCs w:val="24"/>
        </w:rPr>
        <w:t>animals</w:t>
      </w:r>
      <w:r w:rsidRPr="00355D66">
        <w:rPr>
          <w:rFonts w:ascii="Times New Roman" w:hAnsi="Times New Roman" w:cs="Times New Roman"/>
          <w:sz w:val="20"/>
          <w:szCs w:val="24"/>
        </w:rPr>
        <w:t xml:space="preserve"> </w:t>
      </w:r>
      <w:r w:rsidR="00355D66" w:rsidRPr="00355D66">
        <w:rPr>
          <w:rFonts w:ascii="Times New Roman" w:hAnsi="Times New Roman" w:cs="Times New Roman"/>
          <w:sz w:val="20"/>
          <w:szCs w:val="24"/>
        </w:rPr>
        <w:t>down regulated</w:t>
      </w:r>
      <w:r w:rsidRPr="00355D66">
        <w:rPr>
          <w:rFonts w:ascii="Times New Roman" w:hAnsi="Times New Roman" w:cs="Times New Roman"/>
          <w:sz w:val="20"/>
          <w:szCs w:val="24"/>
        </w:rPr>
        <w:t xml:space="preserve"> the </w:t>
      </w:r>
      <w:r w:rsidR="00355D66" w:rsidRPr="00355D66">
        <w:rPr>
          <w:rFonts w:ascii="Times New Roman" w:hAnsi="Times New Roman" w:cs="Times New Roman"/>
          <w:sz w:val="20"/>
          <w:szCs w:val="24"/>
        </w:rPr>
        <w:t>up regulation</w:t>
      </w:r>
      <w:r w:rsidRPr="00355D66">
        <w:rPr>
          <w:rFonts w:ascii="Times New Roman" w:hAnsi="Times New Roman" w:cs="Times New Roman"/>
          <w:sz w:val="20"/>
          <w:szCs w:val="24"/>
        </w:rPr>
        <w:t xml:space="preserve"> of neuronal presynaptic α2-AR and ameliorated the hyperalgesia and the cold/mechanical allodynia in these animals. </w:t>
      </w:r>
    </w:p>
    <w:p w:rsidR="00D95989" w:rsidRPr="00355D66" w:rsidRDefault="00D95989" w:rsidP="00355D66">
      <w:pPr>
        <w:jc w:val="both"/>
        <w:rPr>
          <w:rFonts w:ascii="Times New Roman" w:hAnsi="Times New Roman" w:cs="Times New Roman"/>
          <w:sz w:val="24"/>
          <w:szCs w:val="24"/>
        </w:rPr>
      </w:pPr>
      <w:r w:rsidRPr="00355D66">
        <w:rPr>
          <w:rFonts w:ascii="Times New Roman" w:hAnsi="Times New Roman" w:cs="Times New Roman"/>
          <w:b/>
          <w:sz w:val="20"/>
          <w:szCs w:val="24"/>
        </w:rPr>
        <w:t>Conclusion:</w:t>
      </w:r>
      <w:r w:rsidRPr="00355D66">
        <w:rPr>
          <w:rFonts w:ascii="Times New Roman" w:hAnsi="Times New Roman" w:cs="Times New Roman"/>
          <w:sz w:val="20"/>
          <w:szCs w:val="24"/>
        </w:rPr>
        <w:t xml:space="preserve"> Together, these findings demonstrate that guanfacine may function as a potent analgesic and highlight α2-AR, a key component of the descending neuronal autoinhibitory pathway, as a potential therapeutic target in the treatment of diabetic neuropathic pain. </w:t>
      </w:r>
    </w:p>
    <w:p w:rsidR="0009591C" w:rsidRPr="00355D66" w:rsidRDefault="0019048D" w:rsidP="00355D66">
      <w:pPr>
        <w:rPr>
          <w:rFonts w:ascii="Times New Roman" w:hAnsi="Times New Roman" w:cs="Times New Roman"/>
          <w:b/>
          <w:sz w:val="24"/>
          <w:szCs w:val="24"/>
        </w:rPr>
      </w:pPr>
      <w:r w:rsidRPr="00355D6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19048D" w:rsidRPr="00355D66" w:rsidRDefault="00D95989" w:rsidP="00355D66">
      <w:pPr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355D66">
        <w:rPr>
          <w:rFonts w:ascii="Times New Roman" w:hAnsi="Times New Roman" w:cs="Times New Roman"/>
          <w:sz w:val="20"/>
          <w:szCs w:val="24"/>
        </w:rPr>
        <w:t>Neha</w:t>
      </w:r>
      <w:proofErr w:type="spellEnd"/>
      <w:r w:rsidRPr="00355D66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355D66">
        <w:rPr>
          <w:rFonts w:ascii="Times New Roman" w:hAnsi="Times New Roman" w:cs="Times New Roman"/>
          <w:sz w:val="20"/>
          <w:szCs w:val="24"/>
        </w:rPr>
        <w:t>Munawar</w:t>
      </w:r>
      <w:proofErr w:type="spellEnd"/>
      <w:r w:rsidRPr="00355D66">
        <w:rPr>
          <w:rFonts w:ascii="Times New Roman" w:hAnsi="Times New Roman" w:cs="Times New Roman"/>
          <w:sz w:val="20"/>
          <w:szCs w:val="24"/>
        </w:rPr>
        <w:t xml:space="preserve"> is presently pursuing PhD in Pharmacology and Toxicology on Excellence scholarship under the supervision of Prof. Milad Bitar and Prof. Willias Masocha in the Faculty of Medicine at Kuwait University. </w:t>
      </w:r>
      <w:r w:rsidR="00355D66">
        <w:rPr>
          <w:rFonts w:ascii="Times New Roman" w:hAnsi="Times New Roman" w:cs="Times New Roman"/>
          <w:sz w:val="20"/>
          <w:szCs w:val="24"/>
        </w:rPr>
        <w:t>She</w:t>
      </w:r>
      <w:r w:rsidRPr="00355D66">
        <w:rPr>
          <w:rFonts w:ascii="Times New Roman" w:hAnsi="Times New Roman" w:cs="Times New Roman"/>
          <w:sz w:val="20"/>
          <w:szCs w:val="24"/>
        </w:rPr>
        <w:t xml:space="preserve"> completed her Bachelor’s degree in Pharmacy and Master’s degree in Pharmacology and Toxicology from Kuwait University. </w:t>
      </w:r>
      <w:r w:rsidR="00355D66">
        <w:rPr>
          <w:rFonts w:ascii="Times New Roman" w:hAnsi="Times New Roman" w:cs="Times New Roman"/>
          <w:sz w:val="20"/>
          <w:szCs w:val="24"/>
        </w:rPr>
        <w:t>She</w:t>
      </w:r>
      <w:r w:rsidRPr="00355D66">
        <w:rPr>
          <w:rFonts w:ascii="Times New Roman" w:hAnsi="Times New Roman" w:cs="Times New Roman"/>
          <w:sz w:val="20"/>
          <w:szCs w:val="24"/>
        </w:rPr>
        <w:t xml:space="preserve"> has been awarded by Her Heighness Sheikha Dana Nasser Sabah Al-Ahmed Al-Sabah for her outstanding performance in Bachelor’s in Pharmacy program. </w:t>
      </w:r>
      <w:r w:rsidR="00355D66">
        <w:rPr>
          <w:rFonts w:ascii="Times New Roman" w:hAnsi="Times New Roman" w:cs="Times New Roman"/>
          <w:sz w:val="20"/>
          <w:szCs w:val="24"/>
        </w:rPr>
        <w:t>She</w:t>
      </w:r>
      <w:r w:rsidRPr="00355D66">
        <w:rPr>
          <w:rFonts w:ascii="Times New Roman" w:hAnsi="Times New Roman" w:cs="Times New Roman"/>
          <w:sz w:val="20"/>
          <w:szCs w:val="24"/>
        </w:rPr>
        <w:t xml:space="preserve"> has research expertise in neuropharmacology, especially neuropathic pain.</w:t>
      </w:r>
      <w:bookmarkEnd w:id="0"/>
    </w:p>
    <w:sectPr w:rsidR="0019048D" w:rsidRPr="00355D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A7BDB"/>
    <w:multiLevelType w:val="hybridMultilevel"/>
    <w:tmpl w:val="9544BFD2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C054765"/>
    <w:multiLevelType w:val="hybridMultilevel"/>
    <w:tmpl w:val="807EF7F6"/>
    <w:lvl w:ilvl="0" w:tplc="4009000F">
      <w:start w:val="1"/>
      <w:numFmt w:val="decimal"/>
      <w:lvlText w:val="%1."/>
      <w:lvlJc w:val="left"/>
      <w:pPr>
        <w:ind w:left="820" w:hanging="360"/>
      </w:pPr>
    </w:lvl>
    <w:lvl w:ilvl="1" w:tplc="40090019" w:tentative="1">
      <w:start w:val="1"/>
      <w:numFmt w:val="lowerLetter"/>
      <w:lvlText w:val="%2."/>
      <w:lvlJc w:val="left"/>
      <w:pPr>
        <w:ind w:left="1540" w:hanging="360"/>
      </w:pPr>
    </w:lvl>
    <w:lvl w:ilvl="2" w:tplc="4009001B" w:tentative="1">
      <w:start w:val="1"/>
      <w:numFmt w:val="lowerRoman"/>
      <w:lvlText w:val="%3."/>
      <w:lvlJc w:val="right"/>
      <w:pPr>
        <w:ind w:left="2260" w:hanging="180"/>
      </w:pPr>
    </w:lvl>
    <w:lvl w:ilvl="3" w:tplc="4009000F" w:tentative="1">
      <w:start w:val="1"/>
      <w:numFmt w:val="decimal"/>
      <w:lvlText w:val="%4."/>
      <w:lvlJc w:val="left"/>
      <w:pPr>
        <w:ind w:left="2980" w:hanging="360"/>
      </w:pPr>
    </w:lvl>
    <w:lvl w:ilvl="4" w:tplc="40090019" w:tentative="1">
      <w:start w:val="1"/>
      <w:numFmt w:val="lowerLetter"/>
      <w:lvlText w:val="%5."/>
      <w:lvlJc w:val="left"/>
      <w:pPr>
        <w:ind w:left="3700" w:hanging="360"/>
      </w:pPr>
    </w:lvl>
    <w:lvl w:ilvl="5" w:tplc="4009001B" w:tentative="1">
      <w:start w:val="1"/>
      <w:numFmt w:val="lowerRoman"/>
      <w:lvlText w:val="%6."/>
      <w:lvlJc w:val="right"/>
      <w:pPr>
        <w:ind w:left="4420" w:hanging="180"/>
      </w:pPr>
    </w:lvl>
    <w:lvl w:ilvl="6" w:tplc="4009000F" w:tentative="1">
      <w:start w:val="1"/>
      <w:numFmt w:val="decimal"/>
      <w:lvlText w:val="%7."/>
      <w:lvlJc w:val="left"/>
      <w:pPr>
        <w:ind w:left="5140" w:hanging="360"/>
      </w:pPr>
    </w:lvl>
    <w:lvl w:ilvl="7" w:tplc="40090019" w:tentative="1">
      <w:start w:val="1"/>
      <w:numFmt w:val="lowerLetter"/>
      <w:lvlText w:val="%8."/>
      <w:lvlJc w:val="left"/>
      <w:pPr>
        <w:ind w:left="5860" w:hanging="360"/>
      </w:pPr>
    </w:lvl>
    <w:lvl w:ilvl="8" w:tplc="40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>
    <w:nsid w:val="6A0B7098"/>
    <w:multiLevelType w:val="hybridMultilevel"/>
    <w:tmpl w:val="9E940456"/>
    <w:lvl w:ilvl="0" w:tplc="4009000F">
      <w:start w:val="1"/>
      <w:numFmt w:val="decimal"/>
      <w:lvlText w:val="%1."/>
      <w:lvlJc w:val="left"/>
      <w:pPr>
        <w:ind w:left="502" w:hanging="360"/>
      </w:p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48D"/>
    <w:rsid w:val="0002087A"/>
    <w:rsid w:val="00094164"/>
    <w:rsid w:val="0009591C"/>
    <w:rsid w:val="0019048D"/>
    <w:rsid w:val="00355D66"/>
    <w:rsid w:val="004A7066"/>
    <w:rsid w:val="0051569B"/>
    <w:rsid w:val="0055232C"/>
    <w:rsid w:val="00553F53"/>
    <w:rsid w:val="006C2385"/>
    <w:rsid w:val="00736322"/>
    <w:rsid w:val="0074318D"/>
    <w:rsid w:val="009D07EF"/>
    <w:rsid w:val="00A41516"/>
    <w:rsid w:val="00B54551"/>
    <w:rsid w:val="00B61700"/>
    <w:rsid w:val="00BA4A24"/>
    <w:rsid w:val="00D60BE4"/>
    <w:rsid w:val="00D95989"/>
    <w:rsid w:val="00EB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9048D"/>
    <w:pPr>
      <w:spacing w:after="0"/>
    </w:pPr>
    <w:rPr>
      <w:rFonts w:ascii="Arial" w:eastAsia="Arial" w:hAnsi="Arial" w:cs="Arial"/>
      <w:lang w:val="pt-BR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9048D"/>
    <w:pPr>
      <w:spacing w:after="0"/>
    </w:pPr>
    <w:rPr>
      <w:rFonts w:ascii="Arial" w:eastAsia="Arial" w:hAnsi="Arial" w:cs="Arial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7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5</cp:revision>
  <dcterms:created xsi:type="dcterms:W3CDTF">2022-12-09T08:34:00Z</dcterms:created>
  <dcterms:modified xsi:type="dcterms:W3CDTF">2022-12-13T10:20:00Z</dcterms:modified>
</cp:coreProperties>
</file>