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624E0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B624E0">
        <w:rPr>
          <w:rFonts w:ascii="Times New Roman" w:hAnsi="Times New Roman" w:cs="Times New Roman"/>
          <w:b/>
          <w:sz w:val="32"/>
        </w:rPr>
        <w:t xml:space="preserve">Potential use as breast cancer therapy and mechanism of action of an </w:t>
      </w:r>
      <w:proofErr w:type="spellStart"/>
      <w:r w:rsidRPr="00B624E0">
        <w:rPr>
          <w:rFonts w:ascii="Times New Roman" w:hAnsi="Times New Roman" w:cs="Times New Roman"/>
          <w:b/>
          <w:sz w:val="32"/>
        </w:rPr>
        <w:t>aptamer</w:t>
      </w:r>
      <w:proofErr w:type="spellEnd"/>
      <w:r w:rsidRPr="00B624E0">
        <w:rPr>
          <w:rFonts w:ascii="Times New Roman" w:hAnsi="Times New Roman" w:cs="Times New Roman"/>
          <w:b/>
          <w:sz w:val="32"/>
        </w:rPr>
        <w:t xml:space="preserve"> against MNK1b</w:t>
      </w:r>
    </w:p>
    <w:p w:rsidR="00B624E0" w:rsidRDefault="00B624E0">
      <w:pPr>
        <w:rPr>
          <w:rFonts w:ascii="Times New Roman" w:hAnsi="Times New Roman" w:cs="Times New Roman"/>
          <w:sz w:val="24"/>
        </w:rPr>
      </w:pPr>
      <w:r w:rsidRPr="00B624E0">
        <w:rPr>
          <w:rFonts w:ascii="Times New Roman" w:hAnsi="Times New Roman" w:cs="Times New Roman"/>
          <w:sz w:val="24"/>
        </w:rPr>
        <w:t xml:space="preserve">Raquel </w:t>
      </w:r>
      <w:proofErr w:type="spellStart"/>
      <w:r w:rsidRPr="00B624E0">
        <w:rPr>
          <w:rFonts w:ascii="Times New Roman" w:hAnsi="Times New Roman" w:cs="Times New Roman"/>
          <w:sz w:val="24"/>
        </w:rPr>
        <w:t>Ferreras</w:t>
      </w:r>
      <w:proofErr w:type="spellEnd"/>
      <w:r w:rsidRPr="00B624E0">
        <w:rPr>
          <w:rFonts w:ascii="Times New Roman" w:hAnsi="Times New Roman" w:cs="Times New Roman"/>
          <w:sz w:val="24"/>
        </w:rPr>
        <w:t>-Mart</w:t>
      </w:r>
      <w:r>
        <w:rPr>
          <w:rFonts w:ascii="Times New Roman" w:hAnsi="Times New Roman" w:cs="Times New Roman"/>
          <w:sz w:val="24"/>
        </w:rPr>
        <w:t>i</w:t>
      </w:r>
      <w:r w:rsidRPr="00B624E0">
        <w:rPr>
          <w:rFonts w:ascii="Times New Roman" w:hAnsi="Times New Roman" w:cs="Times New Roman"/>
          <w:sz w:val="24"/>
        </w:rPr>
        <w:t>n</w:t>
      </w:r>
    </w:p>
    <w:p w:rsidR="00B624E0" w:rsidRPr="00B624E0" w:rsidRDefault="00B624E0">
      <w:pPr>
        <w:rPr>
          <w:rFonts w:ascii="Times New Roman" w:hAnsi="Times New Roman" w:cs="Times New Roman"/>
        </w:rPr>
      </w:pPr>
      <w:r w:rsidRPr="00B624E0">
        <w:rPr>
          <w:rFonts w:ascii="Times New Roman" w:hAnsi="Times New Roman" w:cs="Times New Roman"/>
        </w:rPr>
        <w:t xml:space="preserve">Ramon y </w:t>
      </w:r>
      <w:proofErr w:type="spellStart"/>
      <w:r w:rsidRPr="00B624E0">
        <w:rPr>
          <w:rFonts w:ascii="Times New Roman" w:hAnsi="Times New Roman" w:cs="Times New Roman"/>
        </w:rPr>
        <w:t>Cajal</w:t>
      </w:r>
      <w:proofErr w:type="spellEnd"/>
      <w:r w:rsidRPr="00B624E0">
        <w:rPr>
          <w:rFonts w:ascii="Times New Roman" w:hAnsi="Times New Roman" w:cs="Times New Roman"/>
        </w:rPr>
        <w:t xml:space="preserve"> Institute for Health Research (IRYCIS), Spain</w:t>
      </w:r>
    </w:p>
    <w:p w:rsidR="00B624E0" w:rsidRPr="00B624E0" w:rsidRDefault="00B624E0" w:rsidP="00B624E0">
      <w:pPr>
        <w:jc w:val="center"/>
        <w:rPr>
          <w:rFonts w:ascii="Times New Roman" w:hAnsi="Times New Roman" w:cs="Times New Roman"/>
          <w:b/>
          <w:sz w:val="24"/>
        </w:rPr>
      </w:pPr>
      <w:r w:rsidRPr="00B624E0">
        <w:rPr>
          <w:rFonts w:ascii="Times New Roman" w:hAnsi="Times New Roman" w:cs="Times New Roman"/>
          <w:b/>
          <w:sz w:val="24"/>
        </w:rPr>
        <w:t>Abstract</w:t>
      </w:r>
    </w:p>
    <w:p w:rsidR="00B624E0" w:rsidRDefault="00B624E0" w:rsidP="00B624E0">
      <w:pPr>
        <w:jc w:val="both"/>
        <w:rPr>
          <w:rFonts w:ascii="Times New Roman" w:hAnsi="Times New Roman" w:cs="Times New Roman"/>
          <w:sz w:val="20"/>
        </w:rPr>
      </w:pPr>
      <w:r w:rsidRPr="00B624E0">
        <w:rPr>
          <w:rFonts w:ascii="Times New Roman" w:hAnsi="Times New Roman" w:cs="Times New Roman"/>
          <w:sz w:val="20"/>
        </w:rPr>
        <w:t>Breast cancer is the most common type of cancer diagnosed in women and is the leading cause of cancer death in many countries. Mitogen-activated protein kinase-interacting kinases (MNKs) are overexpressed in several types of cancer and promote metastasis and tumor progression through the control of the expression of proteins involved in cel</w:t>
      </w:r>
      <w:r>
        <w:rPr>
          <w:rFonts w:ascii="Times New Roman" w:hAnsi="Times New Roman" w:cs="Times New Roman"/>
          <w:sz w:val="20"/>
        </w:rPr>
        <w:t>l cycle, survival and migration</w:t>
      </w:r>
      <w:r w:rsidRPr="00B624E0">
        <w:rPr>
          <w:rFonts w:ascii="Times New Roman" w:hAnsi="Times New Roman" w:cs="Times New Roman"/>
          <w:sz w:val="20"/>
        </w:rPr>
        <w:t>. In human cells, there are four isoforms of MNKs (MNK1a/b and MNK2a/b) that exert their function through phosphorylation of initiation factor 4E (eIF4E) and other su</w:t>
      </w:r>
      <w:r>
        <w:rPr>
          <w:rFonts w:ascii="Times New Roman" w:hAnsi="Times New Roman" w:cs="Times New Roman"/>
          <w:sz w:val="20"/>
        </w:rPr>
        <w:t>bstrates (</w:t>
      </w:r>
      <w:proofErr w:type="spellStart"/>
      <w:r>
        <w:rPr>
          <w:rFonts w:ascii="Times New Roman" w:hAnsi="Times New Roman" w:cs="Times New Roman"/>
          <w:sz w:val="20"/>
        </w:rPr>
        <w:t>sprouty</w:t>
      </w:r>
      <w:proofErr w:type="spellEnd"/>
      <w:r>
        <w:rPr>
          <w:rFonts w:ascii="Times New Roman" w:hAnsi="Times New Roman" w:cs="Times New Roman"/>
          <w:sz w:val="20"/>
        </w:rPr>
        <w:t>, PSF, hnRNP1)</w:t>
      </w:r>
      <w:r w:rsidRPr="00B624E0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B624E0">
        <w:rPr>
          <w:rFonts w:ascii="Times New Roman" w:hAnsi="Times New Roman" w:cs="Times New Roman"/>
          <w:sz w:val="20"/>
        </w:rPr>
        <w:t>Aptamers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are single chain nucleic acids (</w:t>
      </w:r>
      <w:proofErr w:type="spellStart"/>
      <w:r w:rsidRPr="00B624E0">
        <w:rPr>
          <w:rFonts w:ascii="Times New Roman" w:hAnsi="Times New Roman" w:cs="Times New Roman"/>
          <w:sz w:val="20"/>
        </w:rPr>
        <w:t>ssDNA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and RNA) isolated from oligonucleotide libraries by </w:t>
      </w:r>
      <w:r w:rsidRPr="00B624E0">
        <w:rPr>
          <w:rFonts w:ascii="Times New Roman" w:hAnsi="Times New Roman" w:cs="Times New Roman"/>
          <w:i/>
          <w:sz w:val="20"/>
        </w:rPr>
        <w:t>in vitro</w:t>
      </w:r>
      <w:r w:rsidRPr="00B624E0">
        <w:rPr>
          <w:rFonts w:ascii="Times New Roman" w:hAnsi="Times New Roman" w:cs="Times New Roman"/>
          <w:sz w:val="20"/>
        </w:rPr>
        <w:t xml:space="preserve"> selection by exponential enrichment in the presence of the ligand (SELEX). </w:t>
      </w:r>
      <w:proofErr w:type="spellStart"/>
      <w:r w:rsidRPr="00B624E0">
        <w:rPr>
          <w:rFonts w:ascii="Times New Roman" w:hAnsi="Times New Roman" w:cs="Times New Roman"/>
          <w:sz w:val="20"/>
        </w:rPr>
        <w:t>Aptamers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adopt three-dimensional structures that allow them to bind in a stable and highly specific way to their targets,</w:t>
      </w:r>
      <w:r>
        <w:rPr>
          <w:rFonts w:ascii="Times New Roman" w:hAnsi="Times New Roman" w:cs="Times New Roman"/>
          <w:sz w:val="20"/>
        </w:rPr>
        <w:t xml:space="preserve"> </w:t>
      </w:r>
      <w:r w:rsidRPr="00B624E0">
        <w:rPr>
          <w:rFonts w:ascii="Times New Roman" w:hAnsi="Times New Roman" w:cs="Times New Roman"/>
          <w:sz w:val="20"/>
        </w:rPr>
        <w:t>which gives them a high potential as t</w:t>
      </w:r>
      <w:r>
        <w:rPr>
          <w:rFonts w:ascii="Times New Roman" w:hAnsi="Times New Roman" w:cs="Times New Roman"/>
          <w:sz w:val="20"/>
        </w:rPr>
        <w:t>herapeutic and diagnostic tools</w:t>
      </w:r>
      <w:r w:rsidRPr="00B624E0">
        <w:rPr>
          <w:rFonts w:ascii="Times New Roman" w:hAnsi="Times New Roman" w:cs="Times New Roman"/>
          <w:sz w:val="20"/>
        </w:rPr>
        <w:t xml:space="preserve">. We have obtained, optimized and characterized a highly specific </w:t>
      </w:r>
      <w:proofErr w:type="spellStart"/>
      <w:r w:rsidRPr="00B624E0">
        <w:rPr>
          <w:rFonts w:ascii="Times New Roman" w:hAnsi="Times New Roman" w:cs="Times New Roman"/>
          <w:sz w:val="20"/>
        </w:rPr>
        <w:t>aptamer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against MNK1a/b, with a dissociation constant in the </w:t>
      </w:r>
      <w:proofErr w:type="spellStart"/>
      <w:r w:rsidRPr="00B624E0">
        <w:rPr>
          <w:rFonts w:ascii="Times New Roman" w:hAnsi="Times New Roman" w:cs="Times New Roman"/>
          <w:sz w:val="20"/>
        </w:rPr>
        <w:t>nanomolar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range, which produces significant inhibition of proliferation, colony formation, migration</w:t>
      </w:r>
      <w:r>
        <w:rPr>
          <w:rFonts w:ascii="Times New Roman" w:hAnsi="Times New Roman" w:cs="Times New Roman"/>
          <w:sz w:val="20"/>
        </w:rPr>
        <w:t xml:space="preserve"> and</w:t>
      </w:r>
      <w:r w:rsidRPr="00B624E0">
        <w:rPr>
          <w:rFonts w:ascii="Times New Roman" w:hAnsi="Times New Roman" w:cs="Times New Roman"/>
          <w:sz w:val="20"/>
        </w:rPr>
        <w:t xml:space="preserve"> invasion in breast cancer cells. At the molecular level, apMNKQ2 modulates the levels of MNK1a/b, anti-apoptotic proteins and EMT related proteins. In murine </w:t>
      </w:r>
      <w:proofErr w:type="spellStart"/>
      <w:r w:rsidRPr="00B624E0">
        <w:rPr>
          <w:rFonts w:ascii="Times New Roman" w:hAnsi="Times New Roman" w:cs="Times New Roman"/>
          <w:sz w:val="20"/>
        </w:rPr>
        <w:t>orthotopic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model of triple-negative breast cancer, apMNKQ2 reduces tumor volume and the number of metastases. In conclusion, apMNKQ2 could be used as an anti-tumor drug in the future.</w:t>
      </w:r>
    </w:p>
    <w:p w:rsidR="00B624E0" w:rsidRPr="00B624E0" w:rsidRDefault="00B624E0" w:rsidP="00B624E0">
      <w:pPr>
        <w:rPr>
          <w:rFonts w:ascii="Times New Roman" w:hAnsi="Times New Roman" w:cs="Times New Roman"/>
          <w:b/>
          <w:sz w:val="24"/>
        </w:rPr>
      </w:pPr>
      <w:r w:rsidRPr="00B624E0">
        <w:rPr>
          <w:rFonts w:ascii="Times New Roman" w:hAnsi="Times New Roman" w:cs="Times New Roman"/>
          <w:b/>
          <w:sz w:val="24"/>
        </w:rPr>
        <w:t>Biography</w:t>
      </w:r>
    </w:p>
    <w:p w:rsidR="00B624E0" w:rsidRPr="00B624E0" w:rsidRDefault="00B624E0" w:rsidP="00B624E0">
      <w:pPr>
        <w:jc w:val="both"/>
        <w:rPr>
          <w:rFonts w:ascii="Times New Roman" w:hAnsi="Times New Roman" w:cs="Times New Roman"/>
          <w:sz w:val="20"/>
        </w:rPr>
      </w:pPr>
      <w:r w:rsidRPr="00B624E0">
        <w:rPr>
          <w:rFonts w:ascii="Times New Roman" w:hAnsi="Times New Roman" w:cs="Times New Roman"/>
          <w:sz w:val="20"/>
        </w:rPr>
        <w:t xml:space="preserve">Raquel </w:t>
      </w:r>
      <w:proofErr w:type="spellStart"/>
      <w:r w:rsidRPr="00B624E0">
        <w:rPr>
          <w:rFonts w:ascii="Times New Roman" w:hAnsi="Times New Roman" w:cs="Times New Roman"/>
          <w:sz w:val="20"/>
        </w:rPr>
        <w:t>Ferreras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Mart</w:t>
      </w:r>
      <w:r>
        <w:rPr>
          <w:rFonts w:ascii="Times New Roman" w:hAnsi="Times New Roman" w:cs="Times New Roman"/>
          <w:sz w:val="20"/>
        </w:rPr>
        <w:t>i</w:t>
      </w:r>
      <w:r w:rsidRPr="00B624E0">
        <w:rPr>
          <w:rFonts w:ascii="Times New Roman" w:hAnsi="Times New Roman" w:cs="Times New Roman"/>
          <w:sz w:val="20"/>
        </w:rPr>
        <w:t xml:space="preserve">n has a degree in Biochemistry and a Master’s degree in Neuroscience from the </w:t>
      </w:r>
      <w:proofErr w:type="spellStart"/>
      <w:r w:rsidRPr="00B624E0">
        <w:rPr>
          <w:rFonts w:ascii="Times New Roman" w:hAnsi="Times New Roman" w:cs="Times New Roman"/>
          <w:sz w:val="20"/>
        </w:rPr>
        <w:t>Complutense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University of Madrid. Between 2015 and 2017 she began her research activity in the Neurovascular Research Unit at the UCM as an undergraduate student. In 2018 she joined the </w:t>
      </w:r>
      <w:proofErr w:type="spellStart"/>
      <w:r w:rsidRPr="00B624E0">
        <w:rPr>
          <w:rFonts w:ascii="Times New Roman" w:hAnsi="Times New Roman" w:cs="Times New Roman"/>
          <w:sz w:val="20"/>
        </w:rPr>
        <w:t>Aptamers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laboratory at the </w:t>
      </w:r>
      <w:proofErr w:type="spellStart"/>
      <w:r w:rsidRPr="00B624E0">
        <w:rPr>
          <w:rFonts w:ascii="Times New Roman" w:hAnsi="Times New Roman" w:cs="Times New Roman"/>
          <w:sz w:val="20"/>
        </w:rPr>
        <w:t>Instituto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Ramón y </w:t>
      </w:r>
      <w:proofErr w:type="spellStart"/>
      <w:r w:rsidRPr="00B624E0">
        <w:rPr>
          <w:rFonts w:ascii="Times New Roman" w:hAnsi="Times New Roman" w:cs="Times New Roman"/>
          <w:sz w:val="20"/>
        </w:rPr>
        <w:t>Cajal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B624E0">
        <w:rPr>
          <w:rFonts w:ascii="Times New Roman" w:hAnsi="Times New Roman" w:cs="Times New Roman"/>
          <w:sz w:val="20"/>
        </w:rPr>
        <w:t>Investigación</w:t>
      </w:r>
      <w:proofErr w:type="spellEnd"/>
      <w:r w:rsidRPr="00B624E0">
        <w:rPr>
          <w:rFonts w:ascii="Times New Roman" w:hAnsi="Times New Roman" w:cs="Times New Roman"/>
          <w:sz w:val="20"/>
        </w:rPr>
        <w:t xml:space="preserve"> Sanitaria as a PhD student with a highly competitive fellowship to study of the mechanism of action of apMNKQ2 as an antitumor drug in breast cancer. Some of the results of her research have been published in 2 congresses, 2 papers and 1 review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B624E0" w:rsidRPr="00B62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4E0"/>
    <w:rsid w:val="00474203"/>
    <w:rsid w:val="00535872"/>
    <w:rsid w:val="00924B33"/>
    <w:rsid w:val="00B6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2023-02-02T06:14:00Z</dcterms:created>
  <dcterms:modified xsi:type="dcterms:W3CDTF">2023-02-02T06:23:00Z</dcterms:modified>
</cp:coreProperties>
</file>