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7E35" w:rsidRPr="00587E17" w:rsidRDefault="00F67E35" w:rsidP="00020A91">
      <w:pPr>
        <w:rPr>
          <w:rFonts w:ascii="Times New Roman" w:hAnsi="Times New Roman" w:cs="Times New Roman"/>
          <w:b/>
          <w:sz w:val="32"/>
          <w:szCs w:val="32"/>
        </w:rPr>
      </w:pPr>
      <w:r w:rsidRPr="00587E17">
        <w:rPr>
          <w:rFonts w:ascii="Times New Roman" w:hAnsi="Times New Roman" w:cs="Times New Roman"/>
          <w:b/>
          <w:sz w:val="32"/>
          <w:szCs w:val="32"/>
        </w:rPr>
        <w:t xml:space="preserve">Clinical </w:t>
      </w:r>
      <w:r w:rsidR="00587E17" w:rsidRPr="00587E17">
        <w:rPr>
          <w:rFonts w:ascii="Times New Roman" w:hAnsi="Times New Roman" w:cs="Times New Roman"/>
          <w:b/>
          <w:sz w:val="32"/>
          <w:szCs w:val="32"/>
        </w:rPr>
        <w:t xml:space="preserve">features </w:t>
      </w:r>
      <w:r w:rsidRPr="00587E17">
        <w:rPr>
          <w:rFonts w:ascii="Times New Roman" w:hAnsi="Times New Roman" w:cs="Times New Roman"/>
          <w:b/>
          <w:sz w:val="32"/>
          <w:szCs w:val="32"/>
        </w:rPr>
        <w:t xml:space="preserve">of COVID-19 in </w:t>
      </w:r>
      <w:r w:rsidR="00587E17" w:rsidRPr="00587E17">
        <w:rPr>
          <w:rFonts w:ascii="Times New Roman" w:hAnsi="Times New Roman" w:cs="Times New Roman"/>
          <w:b/>
          <w:sz w:val="32"/>
          <w:szCs w:val="32"/>
        </w:rPr>
        <w:t xml:space="preserve">patients </w:t>
      </w:r>
      <w:r w:rsidRPr="00587E17">
        <w:rPr>
          <w:rFonts w:ascii="Times New Roman" w:hAnsi="Times New Roman" w:cs="Times New Roman"/>
          <w:b/>
          <w:sz w:val="32"/>
          <w:szCs w:val="32"/>
        </w:rPr>
        <w:t xml:space="preserve">with </w:t>
      </w:r>
      <w:r w:rsidR="00587E17" w:rsidRPr="00587E17">
        <w:rPr>
          <w:rFonts w:ascii="Times New Roman" w:hAnsi="Times New Roman" w:cs="Times New Roman"/>
          <w:b/>
          <w:sz w:val="32"/>
          <w:szCs w:val="32"/>
        </w:rPr>
        <w:t xml:space="preserve">type </w:t>
      </w:r>
      <w:r w:rsidRPr="00587E17">
        <w:rPr>
          <w:rFonts w:ascii="Times New Roman" w:hAnsi="Times New Roman" w:cs="Times New Roman"/>
          <w:b/>
          <w:sz w:val="32"/>
          <w:szCs w:val="32"/>
        </w:rPr>
        <w:t xml:space="preserve">2 </w:t>
      </w:r>
      <w:r w:rsidR="00587E17" w:rsidRPr="00587E17">
        <w:rPr>
          <w:rFonts w:ascii="Times New Roman" w:hAnsi="Times New Roman" w:cs="Times New Roman"/>
          <w:b/>
          <w:sz w:val="32"/>
          <w:szCs w:val="32"/>
        </w:rPr>
        <w:t>diabetes</w:t>
      </w:r>
    </w:p>
    <w:p w:rsidR="00C6404E" w:rsidRDefault="00F67E35" w:rsidP="00020A91">
      <w:pPr>
        <w:rPr>
          <w:rFonts w:ascii="Times New Roman" w:hAnsi="Times New Roman" w:cs="Times New Roman"/>
          <w:sz w:val="24"/>
          <w:szCs w:val="24"/>
        </w:rPr>
      </w:pPr>
      <w:r w:rsidRPr="00F67E35">
        <w:rPr>
          <w:rFonts w:ascii="Times New Roman" w:hAnsi="Times New Roman" w:cs="Times New Roman"/>
          <w:sz w:val="24"/>
          <w:szCs w:val="24"/>
        </w:rPr>
        <w:t xml:space="preserve">Mohammed </w:t>
      </w:r>
      <w:proofErr w:type="spellStart"/>
      <w:r w:rsidRPr="00F67E35">
        <w:rPr>
          <w:rFonts w:ascii="Times New Roman" w:hAnsi="Times New Roman" w:cs="Times New Roman"/>
          <w:sz w:val="24"/>
          <w:szCs w:val="24"/>
        </w:rPr>
        <w:t>Badedi</w:t>
      </w:r>
      <w:proofErr w:type="spellEnd"/>
    </w:p>
    <w:p w:rsidR="00F67E35" w:rsidRDefault="00F67E35" w:rsidP="00F67E35">
      <w:pPr>
        <w:rPr>
          <w:rFonts w:ascii="Times New Roman" w:hAnsi="Times New Roman" w:cs="Times New Roman"/>
        </w:rPr>
      </w:pPr>
      <w:proofErr w:type="spellStart"/>
      <w:r w:rsidRPr="00F67E35">
        <w:rPr>
          <w:rFonts w:ascii="Times New Roman" w:hAnsi="Times New Roman" w:cs="Times New Roman"/>
        </w:rPr>
        <w:t>Jazan</w:t>
      </w:r>
      <w:proofErr w:type="spellEnd"/>
      <w:r w:rsidRPr="00F67E35">
        <w:rPr>
          <w:rFonts w:ascii="Times New Roman" w:hAnsi="Times New Roman" w:cs="Times New Roman"/>
        </w:rPr>
        <w:t xml:space="preserve"> University</w:t>
      </w:r>
      <w:r w:rsidR="00587E17">
        <w:rPr>
          <w:rFonts w:ascii="Times New Roman" w:hAnsi="Times New Roman" w:cs="Times New Roman"/>
        </w:rPr>
        <w:t xml:space="preserve">, </w:t>
      </w:r>
      <w:r w:rsidR="00587E17" w:rsidRPr="00587E17">
        <w:rPr>
          <w:rFonts w:ascii="Times New Roman" w:hAnsi="Times New Roman" w:cs="Times New Roman"/>
        </w:rPr>
        <w:t>Saudi Arabia</w:t>
      </w:r>
    </w:p>
    <w:p w:rsidR="00C6404E" w:rsidRDefault="00587E17" w:rsidP="00587E17">
      <w:pPr>
        <w:jc w:val="center"/>
        <w:rPr>
          <w:rFonts w:ascii="Times New Roman" w:hAnsi="Times New Roman" w:cs="Times New Roman"/>
          <w:b/>
          <w:sz w:val="24"/>
          <w:szCs w:val="24"/>
        </w:rPr>
      </w:pPr>
      <w:r>
        <w:rPr>
          <w:rFonts w:ascii="Times New Roman" w:hAnsi="Times New Roman" w:cs="Times New Roman"/>
          <w:b/>
          <w:sz w:val="24"/>
          <w:szCs w:val="24"/>
        </w:rPr>
        <w:t>Abstract</w:t>
      </w:r>
    </w:p>
    <w:p w:rsidR="00F67E35" w:rsidRPr="00F67E35" w:rsidRDefault="00F67E35" w:rsidP="00F67E35">
      <w:pPr>
        <w:jc w:val="both"/>
        <w:rPr>
          <w:rFonts w:ascii="Times New Roman" w:hAnsi="Times New Roman" w:cs="Times New Roman"/>
          <w:sz w:val="20"/>
          <w:szCs w:val="20"/>
        </w:rPr>
      </w:pPr>
      <w:r w:rsidRPr="00F67E35">
        <w:rPr>
          <w:rFonts w:ascii="Times New Roman" w:hAnsi="Times New Roman" w:cs="Times New Roman"/>
          <w:sz w:val="20"/>
          <w:szCs w:val="20"/>
        </w:rPr>
        <w:t xml:space="preserve">The objectives of the current study were to assess the severity and clinical characteristics of coronavirus disease 2019 (COVID-19) among Saudi adults with </w:t>
      </w:r>
      <w:r w:rsidR="00587E17" w:rsidRPr="00F67E35">
        <w:rPr>
          <w:rFonts w:ascii="Times New Roman" w:hAnsi="Times New Roman" w:cs="Times New Roman"/>
          <w:sz w:val="20"/>
          <w:szCs w:val="20"/>
        </w:rPr>
        <w:t>Type 2 Diabetes Mell</w:t>
      </w:r>
      <w:bookmarkStart w:id="0" w:name="_GoBack"/>
      <w:bookmarkEnd w:id="0"/>
      <w:r w:rsidR="00587E17" w:rsidRPr="00F67E35">
        <w:rPr>
          <w:rFonts w:ascii="Times New Roman" w:hAnsi="Times New Roman" w:cs="Times New Roman"/>
          <w:sz w:val="20"/>
          <w:szCs w:val="20"/>
        </w:rPr>
        <w:t>itus</w:t>
      </w:r>
      <w:r w:rsidRPr="00F67E35">
        <w:rPr>
          <w:rFonts w:ascii="Times New Roman" w:hAnsi="Times New Roman" w:cs="Times New Roman"/>
          <w:sz w:val="20"/>
          <w:szCs w:val="20"/>
        </w:rPr>
        <w:t xml:space="preserve"> (T2DM) in </w:t>
      </w:r>
      <w:proofErr w:type="spellStart"/>
      <w:r w:rsidRPr="00F67E35">
        <w:rPr>
          <w:rFonts w:ascii="Times New Roman" w:hAnsi="Times New Roman" w:cs="Times New Roman"/>
          <w:sz w:val="20"/>
          <w:szCs w:val="20"/>
        </w:rPr>
        <w:t>Jazan</w:t>
      </w:r>
      <w:proofErr w:type="spellEnd"/>
      <w:r w:rsidRPr="00F67E35">
        <w:rPr>
          <w:rFonts w:ascii="Times New Roman" w:hAnsi="Times New Roman" w:cs="Times New Roman"/>
          <w:sz w:val="20"/>
          <w:szCs w:val="20"/>
        </w:rPr>
        <w:t xml:space="preserve"> region, Saudi Arabia.</w:t>
      </w:r>
    </w:p>
    <w:p w:rsidR="00F67E35" w:rsidRPr="00F67E35" w:rsidRDefault="00F67E35" w:rsidP="00F67E35">
      <w:pPr>
        <w:jc w:val="both"/>
        <w:rPr>
          <w:rFonts w:ascii="Times New Roman" w:hAnsi="Times New Roman" w:cs="Times New Roman"/>
          <w:sz w:val="20"/>
          <w:szCs w:val="20"/>
        </w:rPr>
      </w:pPr>
      <w:r w:rsidRPr="00F67E35">
        <w:rPr>
          <w:rFonts w:ascii="Times New Roman" w:hAnsi="Times New Roman" w:cs="Times New Roman"/>
          <w:sz w:val="20"/>
          <w:szCs w:val="20"/>
        </w:rPr>
        <w:t xml:space="preserve">This retrospective cohort study included 412 patients with COVID-19 selected randomly from the Health Electronic Surveillance Network system, which contains the primary data on COVID-19 infections in </w:t>
      </w:r>
      <w:proofErr w:type="spellStart"/>
      <w:r w:rsidRPr="00F67E35">
        <w:rPr>
          <w:rFonts w:ascii="Times New Roman" w:hAnsi="Times New Roman" w:cs="Times New Roman"/>
          <w:sz w:val="20"/>
          <w:szCs w:val="20"/>
        </w:rPr>
        <w:t>Jazan</w:t>
      </w:r>
      <w:proofErr w:type="spellEnd"/>
      <w:r w:rsidRPr="00F67E35">
        <w:rPr>
          <w:rFonts w:ascii="Times New Roman" w:hAnsi="Times New Roman" w:cs="Times New Roman"/>
          <w:sz w:val="20"/>
          <w:szCs w:val="20"/>
        </w:rPr>
        <w:t>.</w:t>
      </w:r>
    </w:p>
    <w:p w:rsidR="00F67E35" w:rsidRPr="00F67E35" w:rsidRDefault="00F67E35" w:rsidP="00F67E35">
      <w:pPr>
        <w:jc w:val="both"/>
        <w:rPr>
          <w:rFonts w:ascii="Times New Roman" w:hAnsi="Times New Roman" w:cs="Times New Roman"/>
          <w:sz w:val="20"/>
          <w:szCs w:val="20"/>
        </w:rPr>
      </w:pPr>
      <w:r w:rsidRPr="00F67E35">
        <w:rPr>
          <w:rFonts w:ascii="Times New Roman" w:hAnsi="Times New Roman" w:cs="Times New Roman"/>
          <w:sz w:val="20"/>
          <w:szCs w:val="20"/>
        </w:rPr>
        <w:t>COVID-19 disease duration was significantly lon</w:t>
      </w:r>
      <w:r w:rsidR="00587E17">
        <w:rPr>
          <w:rFonts w:ascii="Times New Roman" w:hAnsi="Times New Roman" w:cs="Times New Roman"/>
          <w:sz w:val="20"/>
          <w:szCs w:val="20"/>
        </w:rPr>
        <w:t>ger in patients with T2DM (mean=</w:t>
      </w:r>
      <w:r w:rsidRPr="00F67E35">
        <w:rPr>
          <w:rFonts w:ascii="Times New Roman" w:hAnsi="Times New Roman" w:cs="Times New Roman"/>
          <w:sz w:val="20"/>
          <w:szCs w:val="20"/>
        </w:rPr>
        <w:t>10.7 days) compare</w:t>
      </w:r>
      <w:r w:rsidR="00587E17">
        <w:rPr>
          <w:rFonts w:ascii="Times New Roman" w:hAnsi="Times New Roman" w:cs="Times New Roman"/>
          <w:sz w:val="20"/>
          <w:szCs w:val="20"/>
        </w:rPr>
        <w:t>d with those without T2DM (mean=8.3 days) (P=0</w:t>
      </w:r>
      <w:r w:rsidRPr="00F67E35">
        <w:rPr>
          <w:rFonts w:ascii="Times New Roman" w:hAnsi="Times New Roman" w:cs="Times New Roman"/>
          <w:sz w:val="20"/>
          <w:szCs w:val="20"/>
        </w:rPr>
        <w:t xml:space="preserve">.01). Six (7%) patients experienced an increase in blood glucose concentrations and had to escalate their total daily insulin dose accordingly. Median fasting and random blood glucose levels increased after infection </w:t>
      </w:r>
      <w:r w:rsidR="00587E17">
        <w:rPr>
          <w:rFonts w:ascii="Times New Roman" w:hAnsi="Times New Roman" w:cs="Times New Roman"/>
          <w:sz w:val="20"/>
          <w:szCs w:val="20"/>
        </w:rPr>
        <w:t>with COVID-19 (pre-COVID median=119 and 172 mg/</w:t>
      </w:r>
      <w:proofErr w:type="spellStart"/>
      <w:r w:rsidR="00587E17">
        <w:rPr>
          <w:rFonts w:ascii="Times New Roman" w:hAnsi="Times New Roman" w:cs="Times New Roman"/>
          <w:sz w:val="20"/>
          <w:szCs w:val="20"/>
        </w:rPr>
        <w:t>dL</w:t>
      </w:r>
      <w:proofErr w:type="spellEnd"/>
      <w:r w:rsidRPr="00F67E35">
        <w:rPr>
          <w:rFonts w:ascii="Times New Roman" w:hAnsi="Times New Roman" w:cs="Times New Roman"/>
          <w:sz w:val="20"/>
          <w:szCs w:val="20"/>
        </w:rPr>
        <w:t xml:space="preserve"> respectively; post-COVID median</w:t>
      </w:r>
      <w:r w:rsidR="00587E17">
        <w:rPr>
          <w:rFonts w:ascii="Times New Roman" w:hAnsi="Times New Roman" w:cs="Times New Roman"/>
          <w:sz w:val="20"/>
          <w:szCs w:val="20"/>
        </w:rPr>
        <w:t>=148 and 216 mg/</w:t>
      </w:r>
      <w:proofErr w:type="spellStart"/>
      <w:r w:rsidR="00587E17">
        <w:rPr>
          <w:rFonts w:ascii="Times New Roman" w:hAnsi="Times New Roman" w:cs="Times New Roman"/>
          <w:sz w:val="20"/>
          <w:szCs w:val="20"/>
        </w:rPr>
        <w:t>dL</w:t>
      </w:r>
      <w:proofErr w:type="spellEnd"/>
      <w:r w:rsidR="00587E17">
        <w:rPr>
          <w:rFonts w:ascii="Times New Roman" w:hAnsi="Times New Roman" w:cs="Times New Roman"/>
          <w:sz w:val="20"/>
          <w:szCs w:val="20"/>
        </w:rPr>
        <w:t xml:space="preserve"> respectively) (P=0</w:t>
      </w:r>
      <w:r w:rsidRPr="00F67E35">
        <w:rPr>
          <w:rFonts w:ascii="Times New Roman" w:hAnsi="Times New Roman" w:cs="Times New Roman"/>
          <w:sz w:val="20"/>
          <w:szCs w:val="20"/>
        </w:rPr>
        <w:t>.02). The total</w:t>
      </w:r>
      <w:r w:rsidR="00587E17">
        <w:rPr>
          <w:rFonts w:ascii="Times New Roman" w:hAnsi="Times New Roman" w:cs="Times New Roman"/>
          <w:sz w:val="20"/>
          <w:szCs w:val="20"/>
        </w:rPr>
        <w:t xml:space="preserve"> insulin dose pre-COVID (median=</w:t>
      </w:r>
      <w:r w:rsidRPr="00F67E35">
        <w:rPr>
          <w:rFonts w:ascii="Times New Roman" w:hAnsi="Times New Roman" w:cs="Times New Roman"/>
          <w:sz w:val="20"/>
          <w:szCs w:val="20"/>
        </w:rPr>
        <w:t>42 units/d) increased after infection with COVID-19 (median</w:t>
      </w:r>
      <w:r w:rsidR="00587E17">
        <w:rPr>
          <w:rFonts w:ascii="Times New Roman" w:hAnsi="Times New Roman" w:cs="Times New Roman"/>
          <w:sz w:val="20"/>
          <w:szCs w:val="20"/>
        </w:rPr>
        <w:t>=</w:t>
      </w:r>
      <w:r w:rsidRPr="00F67E35">
        <w:rPr>
          <w:rFonts w:ascii="Times New Roman" w:hAnsi="Times New Roman" w:cs="Times New Roman"/>
          <w:sz w:val="20"/>
          <w:szCs w:val="20"/>
        </w:rPr>
        <w:t>58 units/d) (P</w:t>
      </w:r>
      <w:r w:rsidR="00587E17">
        <w:rPr>
          <w:rFonts w:ascii="Times New Roman" w:hAnsi="Times New Roman" w:cs="Times New Roman"/>
          <w:sz w:val="20"/>
          <w:szCs w:val="20"/>
        </w:rPr>
        <w:t>=0</w:t>
      </w:r>
      <w:r w:rsidRPr="00F67E35">
        <w:rPr>
          <w:rFonts w:ascii="Times New Roman" w:hAnsi="Times New Roman" w:cs="Times New Roman"/>
          <w:sz w:val="20"/>
          <w:szCs w:val="20"/>
        </w:rPr>
        <w:t xml:space="preserve">.01). Most patients with T2DM had clinical COVID-19 symptoms (91%) and the remainder (9%) were asymptomatic. A large proportion (80%) of T2DM patients with mild COVID-19 symptoms self-isolated at home. COVID-19 patients with T2DM (11%) who had an oxygen saturation of ≤ 90% and admitted to the intensive care unit were higher </w:t>
      </w:r>
      <w:r w:rsidR="00587E17">
        <w:rPr>
          <w:rFonts w:ascii="Times New Roman" w:hAnsi="Times New Roman" w:cs="Times New Roman"/>
          <w:sz w:val="20"/>
          <w:szCs w:val="20"/>
        </w:rPr>
        <w:t>than those without T2DM (5%) (P=&lt;0</w:t>
      </w:r>
      <w:r w:rsidRPr="00F67E35">
        <w:rPr>
          <w:rFonts w:ascii="Times New Roman" w:hAnsi="Times New Roman" w:cs="Times New Roman"/>
          <w:sz w:val="20"/>
          <w:szCs w:val="20"/>
        </w:rPr>
        <w:t>.001). COVID-19 patients with T2DM (9%) had higher mortality rate than COVID-19 patients without T2DM (1%) (P</w:t>
      </w:r>
      <w:r w:rsidR="00587E17">
        <w:rPr>
          <w:rFonts w:ascii="Times New Roman" w:hAnsi="Times New Roman" w:cs="Times New Roman"/>
          <w:sz w:val="20"/>
          <w:szCs w:val="20"/>
        </w:rPr>
        <w:t>=</w:t>
      </w:r>
      <w:r w:rsidRPr="00F67E35">
        <w:rPr>
          <w:rFonts w:ascii="Times New Roman" w:hAnsi="Times New Roman" w:cs="Times New Roman"/>
          <w:sz w:val="20"/>
          <w:szCs w:val="20"/>
        </w:rPr>
        <w:t>&lt;</w:t>
      </w:r>
      <w:r w:rsidR="00587E17">
        <w:rPr>
          <w:rFonts w:ascii="Times New Roman" w:hAnsi="Times New Roman" w:cs="Times New Roman"/>
          <w:sz w:val="20"/>
          <w:szCs w:val="20"/>
        </w:rPr>
        <w:t>0</w:t>
      </w:r>
      <w:r w:rsidRPr="00F67E35">
        <w:rPr>
          <w:rFonts w:ascii="Times New Roman" w:hAnsi="Times New Roman" w:cs="Times New Roman"/>
          <w:sz w:val="20"/>
          <w:szCs w:val="20"/>
        </w:rPr>
        <w:t>.001).</w:t>
      </w:r>
    </w:p>
    <w:p w:rsidR="009D0DE2" w:rsidRDefault="00F67E35" w:rsidP="00F67E35">
      <w:pPr>
        <w:jc w:val="both"/>
        <w:rPr>
          <w:rFonts w:ascii="Times New Roman" w:hAnsi="Times New Roman" w:cs="Times New Roman"/>
          <w:sz w:val="20"/>
          <w:szCs w:val="20"/>
        </w:rPr>
      </w:pPr>
      <w:r w:rsidRPr="00F67E35">
        <w:rPr>
          <w:rFonts w:ascii="Times New Roman" w:hAnsi="Times New Roman" w:cs="Times New Roman"/>
          <w:sz w:val="20"/>
          <w:szCs w:val="20"/>
        </w:rPr>
        <w:t>COVID-19 patients with T2DM were associated with a higher risk of admission to the intensive care unit and mortality than COVID-19 patients without T2DM</w:t>
      </w:r>
      <w:r w:rsidR="00587E17">
        <w:rPr>
          <w:rFonts w:ascii="Times New Roman" w:hAnsi="Times New Roman" w:cs="Times New Roman"/>
          <w:sz w:val="20"/>
          <w:szCs w:val="20"/>
        </w:rPr>
        <w:t xml:space="preserve">. </w:t>
      </w:r>
    </w:p>
    <w:p w:rsidR="00F67E35" w:rsidRDefault="00F67E35" w:rsidP="00F67E35">
      <w:pPr>
        <w:rPr>
          <w:rFonts w:ascii="Times New Roman" w:hAnsi="Times New Roman" w:cs="Times New Roman"/>
          <w:b/>
          <w:sz w:val="24"/>
          <w:szCs w:val="24"/>
        </w:rPr>
      </w:pPr>
      <w:r w:rsidRPr="009D0DE2">
        <w:rPr>
          <w:rFonts w:ascii="Times New Roman" w:hAnsi="Times New Roman" w:cs="Times New Roman"/>
          <w:b/>
          <w:sz w:val="24"/>
          <w:szCs w:val="24"/>
        </w:rPr>
        <w:t>Biography</w:t>
      </w:r>
    </w:p>
    <w:p w:rsidR="00F67E35" w:rsidRPr="009D0DE2" w:rsidRDefault="00F67E35" w:rsidP="00F67E35">
      <w:pPr>
        <w:jc w:val="both"/>
        <w:rPr>
          <w:rFonts w:ascii="Times New Roman" w:hAnsi="Times New Roman" w:cs="Times New Roman"/>
          <w:sz w:val="20"/>
          <w:szCs w:val="20"/>
        </w:rPr>
      </w:pPr>
      <w:r w:rsidRPr="00F67E35">
        <w:rPr>
          <w:rFonts w:ascii="Times New Roman" w:hAnsi="Times New Roman" w:cs="Times New Roman"/>
          <w:sz w:val="20"/>
          <w:szCs w:val="20"/>
        </w:rPr>
        <w:t xml:space="preserve">Mohammed </w:t>
      </w:r>
      <w:proofErr w:type="spellStart"/>
      <w:r w:rsidRPr="00F67E35">
        <w:rPr>
          <w:rFonts w:ascii="Times New Roman" w:hAnsi="Times New Roman" w:cs="Times New Roman"/>
          <w:sz w:val="20"/>
          <w:szCs w:val="20"/>
        </w:rPr>
        <w:t>Badedi</w:t>
      </w:r>
      <w:proofErr w:type="spellEnd"/>
      <w:r w:rsidRPr="00F67E35">
        <w:rPr>
          <w:rFonts w:ascii="Times New Roman" w:hAnsi="Times New Roman" w:cs="Times New Roman"/>
          <w:sz w:val="20"/>
          <w:szCs w:val="20"/>
        </w:rPr>
        <w:t xml:space="preserve"> is consultant physician and expert researcher in diabetes and its complications. He is the Director of Administration of Research and Studies and the Chairman of Ethics Committee in the Ministry of Heath, </w:t>
      </w:r>
      <w:proofErr w:type="spellStart"/>
      <w:r w:rsidRPr="00F67E35">
        <w:rPr>
          <w:rFonts w:ascii="Times New Roman" w:hAnsi="Times New Roman" w:cs="Times New Roman"/>
          <w:sz w:val="20"/>
          <w:szCs w:val="20"/>
        </w:rPr>
        <w:t>Jazan</w:t>
      </w:r>
      <w:proofErr w:type="spellEnd"/>
      <w:r w:rsidRPr="00F67E35">
        <w:rPr>
          <w:rFonts w:ascii="Times New Roman" w:hAnsi="Times New Roman" w:cs="Times New Roman"/>
          <w:sz w:val="20"/>
          <w:szCs w:val="20"/>
        </w:rPr>
        <w:t xml:space="preserve"> Region, Saudi Arabia. He also works in </w:t>
      </w:r>
      <w:proofErr w:type="spellStart"/>
      <w:r w:rsidRPr="00F67E35">
        <w:rPr>
          <w:rFonts w:ascii="Times New Roman" w:hAnsi="Times New Roman" w:cs="Times New Roman"/>
          <w:sz w:val="20"/>
          <w:szCs w:val="20"/>
        </w:rPr>
        <w:t>Jazan</w:t>
      </w:r>
      <w:proofErr w:type="spellEnd"/>
      <w:r w:rsidRPr="00F67E35">
        <w:rPr>
          <w:rFonts w:ascii="Times New Roman" w:hAnsi="Times New Roman" w:cs="Times New Roman"/>
          <w:sz w:val="20"/>
          <w:szCs w:val="20"/>
        </w:rPr>
        <w:t xml:space="preserve"> University giving </w:t>
      </w:r>
      <w:r w:rsidR="00587E17" w:rsidRPr="00F67E35">
        <w:rPr>
          <w:rFonts w:ascii="Times New Roman" w:hAnsi="Times New Roman" w:cs="Times New Roman"/>
          <w:sz w:val="20"/>
          <w:szCs w:val="20"/>
        </w:rPr>
        <w:t>academic lectures</w:t>
      </w:r>
      <w:r w:rsidRPr="00F67E35">
        <w:rPr>
          <w:rFonts w:ascii="Times New Roman" w:hAnsi="Times New Roman" w:cs="Times New Roman"/>
          <w:sz w:val="20"/>
          <w:szCs w:val="20"/>
        </w:rPr>
        <w:t xml:space="preserve"> and training for postgraduate students.</w:t>
      </w:r>
    </w:p>
    <w:sectPr w:rsidR="00F67E35" w:rsidRPr="009D0D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404E"/>
    <w:rsid w:val="00020A91"/>
    <w:rsid w:val="001A547E"/>
    <w:rsid w:val="00587E17"/>
    <w:rsid w:val="00776A6C"/>
    <w:rsid w:val="00871628"/>
    <w:rsid w:val="009D0DE2"/>
    <w:rsid w:val="00C6404E"/>
    <w:rsid w:val="00F67E3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C6404E"/>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6404E"/>
    <w:rPr>
      <w:rFonts w:ascii="Minion Pro" w:eastAsia="Minion Pro" w:hAnsi="Minion Pro" w:cs="Minion Pro"/>
      <w:b/>
      <w:bCs/>
      <w:sz w:val="36"/>
      <w:szCs w:val="36"/>
      <w:lang w:val="en-US"/>
    </w:rPr>
  </w:style>
  <w:style w:type="character" w:styleId="CommentReference">
    <w:name w:val="annotation reference"/>
    <w:basedOn w:val="DefaultParagraphFont"/>
    <w:uiPriority w:val="99"/>
    <w:semiHidden/>
    <w:unhideWhenUsed/>
    <w:rsid w:val="00C6404E"/>
    <w:rPr>
      <w:sz w:val="16"/>
      <w:szCs w:val="16"/>
    </w:rPr>
  </w:style>
  <w:style w:type="paragraph" w:styleId="CommentText">
    <w:name w:val="annotation text"/>
    <w:basedOn w:val="Normal"/>
    <w:link w:val="CommentTextChar"/>
    <w:uiPriority w:val="99"/>
    <w:semiHidden/>
    <w:unhideWhenUsed/>
    <w:rsid w:val="00C6404E"/>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C6404E"/>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C640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04E"/>
    <w:rPr>
      <w:rFonts w:ascii="Tahoma" w:hAnsi="Tahoma" w:cs="Tahoma"/>
      <w:sz w:val="16"/>
      <w:szCs w:val="16"/>
    </w:rPr>
  </w:style>
  <w:style w:type="paragraph" w:styleId="BodyText">
    <w:name w:val="Body Text"/>
    <w:basedOn w:val="Normal"/>
    <w:link w:val="BodyTextChar"/>
    <w:uiPriority w:val="1"/>
    <w:qFormat/>
    <w:rsid w:val="00C6404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C6404E"/>
    <w:rPr>
      <w:rFonts w:ascii="Tw Cen MT" w:eastAsia="Tw Cen MT" w:hAnsi="Tw Cen MT" w:cs="Tw Cen MT"/>
      <w:sz w:val="18"/>
      <w:szCs w:val="1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C6404E"/>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6404E"/>
    <w:rPr>
      <w:rFonts w:ascii="Minion Pro" w:eastAsia="Minion Pro" w:hAnsi="Minion Pro" w:cs="Minion Pro"/>
      <w:b/>
      <w:bCs/>
      <w:sz w:val="36"/>
      <w:szCs w:val="36"/>
      <w:lang w:val="en-US"/>
    </w:rPr>
  </w:style>
  <w:style w:type="character" w:styleId="CommentReference">
    <w:name w:val="annotation reference"/>
    <w:basedOn w:val="DefaultParagraphFont"/>
    <w:uiPriority w:val="99"/>
    <w:semiHidden/>
    <w:unhideWhenUsed/>
    <w:rsid w:val="00C6404E"/>
    <w:rPr>
      <w:sz w:val="16"/>
      <w:szCs w:val="16"/>
    </w:rPr>
  </w:style>
  <w:style w:type="paragraph" w:styleId="CommentText">
    <w:name w:val="annotation text"/>
    <w:basedOn w:val="Normal"/>
    <w:link w:val="CommentTextChar"/>
    <w:uiPriority w:val="99"/>
    <w:semiHidden/>
    <w:unhideWhenUsed/>
    <w:rsid w:val="00C6404E"/>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C6404E"/>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C640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04E"/>
    <w:rPr>
      <w:rFonts w:ascii="Tahoma" w:hAnsi="Tahoma" w:cs="Tahoma"/>
      <w:sz w:val="16"/>
      <w:szCs w:val="16"/>
    </w:rPr>
  </w:style>
  <w:style w:type="paragraph" w:styleId="BodyText">
    <w:name w:val="Body Text"/>
    <w:basedOn w:val="Normal"/>
    <w:link w:val="BodyTextChar"/>
    <w:uiPriority w:val="1"/>
    <w:qFormat/>
    <w:rsid w:val="00C6404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C6404E"/>
    <w:rPr>
      <w:rFonts w:ascii="Tw Cen MT" w:eastAsia="Tw Cen MT" w:hAnsi="Tw Cen MT" w:cs="Tw Cen MT"/>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319</Words>
  <Characters>1819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3</cp:revision>
  <dcterms:created xsi:type="dcterms:W3CDTF">2022-11-22T06:01:00Z</dcterms:created>
  <dcterms:modified xsi:type="dcterms:W3CDTF">2022-11-22T06:57:00Z</dcterms:modified>
</cp:coreProperties>
</file>