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B2ED4F" w14:textId="7ED2F5ED" w:rsidR="00734544" w:rsidRPr="005A739C" w:rsidRDefault="00027040" w:rsidP="005A739C">
      <w:pPr>
        <w:spacing w:after="200" w:line="276" w:lineRule="auto"/>
        <w:rPr>
          <w:rFonts w:ascii="Times New Roman" w:hAnsi="Times New Roman" w:cs="Times New Roman"/>
          <w:b/>
          <w:sz w:val="32"/>
        </w:rPr>
      </w:pPr>
      <w:bookmarkStart w:id="0" w:name="_GoBack"/>
      <w:r w:rsidRPr="005A739C">
        <w:rPr>
          <w:rFonts w:ascii="Times New Roman" w:hAnsi="Times New Roman" w:cs="Times New Roman"/>
          <w:b/>
          <w:sz w:val="32"/>
        </w:rPr>
        <w:t xml:space="preserve">The outcome of low dose insulin </w:t>
      </w:r>
      <w:proofErr w:type="gramStart"/>
      <w:r w:rsidRPr="005A739C">
        <w:rPr>
          <w:rFonts w:ascii="Times New Roman" w:hAnsi="Times New Roman" w:cs="Times New Roman"/>
          <w:b/>
          <w:sz w:val="32"/>
        </w:rPr>
        <w:t>(0.05</w:t>
      </w:r>
      <w:r w:rsidR="005A739C">
        <w:rPr>
          <w:rFonts w:ascii="Times New Roman" w:hAnsi="Times New Roman" w:cs="Times New Roman"/>
          <w:b/>
          <w:sz w:val="32"/>
        </w:rPr>
        <w:t xml:space="preserve"> </w:t>
      </w:r>
      <w:r w:rsidRPr="005A739C">
        <w:rPr>
          <w:rFonts w:ascii="Times New Roman" w:hAnsi="Times New Roman" w:cs="Times New Roman"/>
          <w:b/>
          <w:sz w:val="32"/>
        </w:rPr>
        <w:t>unit/kg/</w:t>
      </w:r>
      <w:proofErr w:type="spellStart"/>
      <w:r w:rsidRPr="005A739C">
        <w:rPr>
          <w:rFonts w:ascii="Times New Roman" w:hAnsi="Times New Roman" w:cs="Times New Roman"/>
          <w:b/>
          <w:sz w:val="32"/>
        </w:rPr>
        <w:t>hr</w:t>
      </w:r>
      <w:proofErr w:type="spellEnd"/>
      <w:r w:rsidRPr="005A739C">
        <w:rPr>
          <w:rFonts w:ascii="Times New Roman" w:hAnsi="Times New Roman" w:cs="Times New Roman"/>
          <w:b/>
          <w:sz w:val="32"/>
        </w:rPr>
        <w:t>)</w:t>
      </w:r>
      <w:proofErr w:type="gramEnd"/>
      <w:r w:rsidRPr="005A739C">
        <w:rPr>
          <w:rFonts w:ascii="Times New Roman" w:hAnsi="Times New Roman" w:cs="Times New Roman"/>
          <w:b/>
          <w:sz w:val="32"/>
        </w:rPr>
        <w:t xml:space="preserve"> </w:t>
      </w:r>
      <w:r w:rsidRPr="005A739C">
        <w:rPr>
          <w:rFonts w:ascii="Times New Roman" w:hAnsi="Times New Roman" w:cs="Times New Roman"/>
          <w:b/>
          <w:i/>
          <w:sz w:val="32"/>
        </w:rPr>
        <w:t>versus</w:t>
      </w:r>
      <w:r w:rsidR="005A739C">
        <w:rPr>
          <w:rFonts w:ascii="Times New Roman" w:hAnsi="Times New Roman" w:cs="Times New Roman"/>
          <w:b/>
          <w:sz w:val="32"/>
        </w:rPr>
        <w:t xml:space="preserve"> standard-</w:t>
      </w:r>
      <w:r w:rsidRPr="005A739C">
        <w:rPr>
          <w:rFonts w:ascii="Times New Roman" w:hAnsi="Times New Roman" w:cs="Times New Roman"/>
          <w:b/>
          <w:sz w:val="32"/>
        </w:rPr>
        <w:t>dose insulin</w:t>
      </w:r>
      <w:r w:rsidR="005A739C" w:rsidRPr="005A739C">
        <w:rPr>
          <w:rFonts w:ascii="Times New Roman" w:hAnsi="Times New Roman" w:cs="Times New Roman"/>
          <w:b/>
          <w:sz w:val="32"/>
        </w:rPr>
        <w:t xml:space="preserve"> </w:t>
      </w:r>
      <w:r w:rsidR="005A739C">
        <w:rPr>
          <w:rFonts w:ascii="Times New Roman" w:hAnsi="Times New Roman" w:cs="Times New Roman"/>
          <w:b/>
          <w:sz w:val="32"/>
        </w:rPr>
        <w:t xml:space="preserve">(0.1 </w:t>
      </w:r>
      <w:r w:rsidRPr="005A739C">
        <w:rPr>
          <w:rFonts w:ascii="Times New Roman" w:hAnsi="Times New Roman" w:cs="Times New Roman"/>
          <w:b/>
          <w:sz w:val="32"/>
        </w:rPr>
        <w:t>unit/kg/</w:t>
      </w:r>
      <w:proofErr w:type="spellStart"/>
      <w:r w:rsidRPr="005A739C">
        <w:rPr>
          <w:rFonts w:ascii="Times New Roman" w:hAnsi="Times New Roman" w:cs="Times New Roman"/>
          <w:b/>
          <w:sz w:val="32"/>
        </w:rPr>
        <w:t>hr</w:t>
      </w:r>
      <w:proofErr w:type="spellEnd"/>
      <w:r w:rsidRPr="005A739C">
        <w:rPr>
          <w:rFonts w:ascii="Times New Roman" w:hAnsi="Times New Roman" w:cs="Times New Roman"/>
          <w:b/>
          <w:sz w:val="32"/>
        </w:rPr>
        <w:t>) for di</w:t>
      </w:r>
      <w:r w:rsidR="005A739C" w:rsidRPr="005A739C">
        <w:rPr>
          <w:rFonts w:ascii="Times New Roman" w:hAnsi="Times New Roman" w:cs="Times New Roman"/>
          <w:b/>
          <w:sz w:val="32"/>
        </w:rPr>
        <w:t>abetic ketoacidosis in children:</w:t>
      </w:r>
      <w:r w:rsidRPr="005A739C">
        <w:rPr>
          <w:rFonts w:ascii="Times New Roman" w:hAnsi="Times New Roman" w:cs="Times New Roman"/>
          <w:b/>
          <w:sz w:val="32"/>
        </w:rPr>
        <w:t xml:space="preserve"> A syst</w:t>
      </w:r>
      <w:r w:rsidR="005A739C" w:rsidRPr="005A739C">
        <w:rPr>
          <w:rFonts w:ascii="Times New Roman" w:hAnsi="Times New Roman" w:cs="Times New Roman"/>
          <w:b/>
          <w:sz w:val="32"/>
        </w:rPr>
        <w:t>ematic review and meta-analysis</w:t>
      </w:r>
    </w:p>
    <w:p w14:paraId="072FC7E3" w14:textId="696C8554" w:rsidR="00027040" w:rsidRDefault="00027040" w:rsidP="005A739C">
      <w:pPr>
        <w:spacing w:after="200" w:line="276" w:lineRule="auto"/>
        <w:rPr>
          <w:rFonts w:ascii="Times New Roman" w:hAnsi="Times New Roman" w:cs="Times New Roman"/>
        </w:rPr>
      </w:pPr>
      <w:proofErr w:type="spellStart"/>
      <w:r w:rsidRPr="005A739C">
        <w:rPr>
          <w:rFonts w:ascii="Times New Roman" w:hAnsi="Times New Roman" w:cs="Times New Roman"/>
        </w:rPr>
        <w:t>Saif</w:t>
      </w:r>
      <w:proofErr w:type="spellEnd"/>
      <w:r w:rsidRPr="005A739C">
        <w:rPr>
          <w:rFonts w:ascii="Times New Roman" w:hAnsi="Times New Roman" w:cs="Times New Roman"/>
        </w:rPr>
        <w:t xml:space="preserve"> </w:t>
      </w:r>
      <w:proofErr w:type="spellStart"/>
      <w:r w:rsidRPr="005A739C">
        <w:rPr>
          <w:rFonts w:ascii="Times New Roman" w:hAnsi="Times New Roman" w:cs="Times New Roman"/>
        </w:rPr>
        <w:t>Awlad</w:t>
      </w:r>
      <w:proofErr w:type="spellEnd"/>
      <w:r w:rsidRPr="005A739C">
        <w:rPr>
          <w:rFonts w:ascii="Times New Roman" w:hAnsi="Times New Roman" w:cs="Times New Roman"/>
        </w:rPr>
        <w:t xml:space="preserve"> </w:t>
      </w:r>
      <w:proofErr w:type="spellStart"/>
      <w:r w:rsidRPr="005A739C">
        <w:rPr>
          <w:rFonts w:ascii="Times New Roman" w:hAnsi="Times New Roman" w:cs="Times New Roman"/>
        </w:rPr>
        <w:t>Thani</w:t>
      </w:r>
      <w:proofErr w:type="spellEnd"/>
    </w:p>
    <w:p w14:paraId="04FE3069" w14:textId="3A38DD69" w:rsidR="005A739C" w:rsidRPr="005A739C" w:rsidRDefault="005A739C" w:rsidP="005A739C">
      <w:pPr>
        <w:spacing w:after="200" w:line="276" w:lineRule="auto"/>
        <w:rPr>
          <w:rFonts w:ascii="Times New Roman" w:hAnsi="Times New Roman" w:cs="Times New Roman"/>
          <w:sz w:val="22"/>
        </w:rPr>
      </w:pPr>
      <w:r w:rsidRPr="005A739C">
        <w:rPr>
          <w:rFonts w:ascii="Times New Roman" w:hAnsi="Times New Roman" w:cs="Times New Roman"/>
          <w:sz w:val="22"/>
        </w:rPr>
        <w:t xml:space="preserve">Sultan </w:t>
      </w:r>
      <w:proofErr w:type="spellStart"/>
      <w:r w:rsidRPr="005A739C">
        <w:rPr>
          <w:rFonts w:ascii="Times New Roman" w:hAnsi="Times New Roman" w:cs="Times New Roman"/>
          <w:sz w:val="22"/>
        </w:rPr>
        <w:t>Qaboos</w:t>
      </w:r>
      <w:proofErr w:type="spellEnd"/>
      <w:r w:rsidRPr="005A739C">
        <w:rPr>
          <w:rFonts w:ascii="Times New Roman" w:hAnsi="Times New Roman" w:cs="Times New Roman"/>
          <w:sz w:val="22"/>
        </w:rPr>
        <w:t xml:space="preserve"> University, Oman</w:t>
      </w:r>
    </w:p>
    <w:p w14:paraId="1E1CE787" w14:textId="4E5A9B21" w:rsidR="00027040" w:rsidRPr="005A739C" w:rsidRDefault="005A739C" w:rsidP="005A739C">
      <w:pPr>
        <w:spacing w:after="200" w:line="276" w:lineRule="auto"/>
        <w:jc w:val="center"/>
        <w:rPr>
          <w:rFonts w:ascii="Times New Roman" w:hAnsi="Times New Roman" w:cs="Times New Roman"/>
          <w:b/>
        </w:rPr>
      </w:pPr>
      <w:r w:rsidRPr="005A739C">
        <w:rPr>
          <w:rFonts w:ascii="Times New Roman" w:hAnsi="Times New Roman" w:cs="Times New Roman"/>
          <w:b/>
        </w:rPr>
        <w:t>Abstract</w:t>
      </w:r>
    </w:p>
    <w:p w14:paraId="332ADE55" w14:textId="3822DDDE" w:rsidR="00027040" w:rsidRPr="005A739C" w:rsidRDefault="00027040" w:rsidP="005A739C">
      <w:pPr>
        <w:spacing w:after="200" w:line="276" w:lineRule="auto"/>
        <w:jc w:val="both"/>
        <w:rPr>
          <w:rFonts w:ascii="Times New Roman" w:hAnsi="Times New Roman" w:cs="Times New Roman"/>
          <w:sz w:val="20"/>
        </w:rPr>
      </w:pPr>
      <w:r w:rsidRPr="005A739C">
        <w:rPr>
          <w:rFonts w:ascii="Times New Roman" w:hAnsi="Times New Roman" w:cs="Times New Roman"/>
          <w:b/>
          <w:sz w:val="20"/>
        </w:rPr>
        <w:t>Background:</w:t>
      </w:r>
      <w:r w:rsidR="005A739C" w:rsidRPr="005A739C">
        <w:rPr>
          <w:rFonts w:ascii="Times New Roman" w:hAnsi="Times New Roman" w:cs="Times New Roman"/>
          <w:sz w:val="20"/>
        </w:rPr>
        <w:t xml:space="preserve"> </w:t>
      </w:r>
      <w:r w:rsidRPr="005A739C">
        <w:rPr>
          <w:rFonts w:ascii="Times New Roman" w:hAnsi="Times New Roman" w:cs="Times New Roman"/>
          <w:sz w:val="20"/>
        </w:rPr>
        <w:t xml:space="preserve">Diabetic </w:t>
      </w:r>
      <w:r w:rsidR="005A739C" w:rsidRPr="005A739C">
        <w:rPr>
          <w:rFonts w:ascii="Times New Roman" w:hAnsi="Times New Roman" w:cs="Times New Roman"/>
          <w:sz w:val="20"/>
        </w:rPr>
        <w:t xml:space="preserve">Ketoacidosis </w:t>
      </w:r>
      <w:r w:rsidRPr="005A739C">
        <w:rPr>
          <w:rFonts w:ascii="Times New Roman" w:hAnsi="Times New Roman" w:cs="Times New Roman"/>
          <w:sz w:val="20"/>
        </w:rPr>
        <w:t>(DKA) is a life-threatening event associated with severe complications</w:t>
      </w:r>
      <w:r w:rsidR="005A739C" w:rsidRPr="005A739C">
        <w:rPr>
          <w:rFonts w:ascii="Times New Roman" w:hAnsi="Times New Roman" w:cs="Times New Roman"/>
          <w:sz w:val="20"/>
        </w:rPr>
        <w:t xml:space="preserve"> </w:t>
      </w:r>
      <w:r w:rsidRPr="005A739C">
        <w:rPr>
          <w:rFonts w:ascii="Times New Roman" w:hAnsi="Times New Roman" w:cs="Times New Roman"/>
          <w:sz w:val="20"/>
        </w:rPr>
        <w:t>related to the disease itself and the way of management. Over decades, the insulin infusion doses</w:t>
      </w:r>
      <w:r w:rsidR="005A739C" w:rsidRPr="005A739C">
        <w:rPr>
          <w:rFonts w:ascii="Times New Roman" w:hAnsi="Times New Roman" w:cs="Times New Roman"/>
          <w:sz w:val="20"/>
        </w:rPr>
        <w:t xml:space="preserve"> </w:t>
      </w:r>
      <w:r w:rsidRPr="005A739C">
        <w:rPr>
          <w:rFonts w:ascii="Times New Roman" w:hAnsi="Times New Roman" w:cs="Times New Roman"/>
          <w:sz w:val="20"/>
        </w:rPr>
        <w:t xml:space="preserve">used to </w:t>
      </w:r>
      <w:proofErr w:type="gramStart"/>
      <w:r w:rsidRPr="005A739C">
        <w:rPr>
          <w:rFonts w:ascii="Times New Roman" w:hAnsi="Times New Roman" w:cs="Times New Roman"/>
          <w:sz w:val="20"/>
        </w:rPr>
        <w:t>revert</w:t>
      </w:r>
      <w:proofErr w:type="gramEnd"/>
      <w:r w:rsidRPr="005A739C">
        <w:rPr>
          <w:rFonts w:ascii="Times New Roman" w:hAnsi="Times New Roman" w:cs="Times New Roman"/>
          <w:sz w:val="20"/>
        </w:rPr>
        <w:t xml:space="preserve"> ketosis and treat hypoglycemia have been evolving.</w:t>
      </w:r>
    </w:p>
    <w:p w14:paraId="54A55287" w14:textId="07E31FFF" w:rsidR="00027040" w:rsidRPr="005A739C" w:rsidRDefault="00027040" w:rsidP="005A739C">
      <w:pPr>
        <w:spacing w:after="200" w:line="276" w:lineRule="auto"/>
        <w:jc w:val="both"/>
        <w:rPr>
          <w:rFonts w:ascii="Times New Roman" w:hAnsi="Times New Roman" w:cs="Times New Roman"/>
          <w:sz w:val="20"/>
        </w:rPr>
      </w:pPr>
      <w:r w:rsidRPr="005A739C">
        <w:rPr>
          <w:rFonts w:ascii="Times New Roman" w:hAnsi="Times New Roman" w:cs="Times New Roman"/>
          <w:b/>
          <w:sz w:val="20"/>
        </w:rPr>
        <w:t>Objectives:</w:t>
      </w:r>
      <w:r w:rsidR="005A739C" w:rsidRPr="005A739C">
        <w:rPr>
          <w:rFonts w:ascii="Times New Roman" w:hAnsi="Times New Roman" w:cs="Times New Roman"/>
          <w:sz w:val="20"/>
        </w:rPr>
        <w:t xml:space="preserve"> </w:t>
      </w:r>
      <w:r w:rsidRPr="005A739C">
        <w:rPr>
          <w:rFonts w:ascii="Times New Roman" w:hAnsi="Times New Roman" w:cs="Times New Roman"/>
          <w:sz w:val="20"/>
        </w:rPr>
        <w:t xml:space="preserve">To compare the outcomes of </w:t>
      </w:r>
      <w:r w:rsidR="005A739C">
        <w:rPr>
          <w:rFonts w:ascii="Times New Roman" w:hAnsi="Times New Roman" w:cs="Times New Roman"/>
          <w:sz w:val="20"/>
        </w:rPr>
        <w:t xml:space="preserve">low dose insulin infusion </w:t>
      </w:r>
      <w:proofErr w:type="gramStart"/>
      <w:r w:rsidR="005A739C">
        <w:rPr>
          <w:rFonts w:ascii="Times New Roman" w:hAnsi="Times New Roman" w:cs="Times New Roman"/>
          <w:sz w:val="20"/>
        </w:rPr>
        <w:t xml:space="preserve">(0.05 </w:t>
      </w:r>
      <w:r w:rsidRPr="005A739C">
        <w:rPr>
          <w:rFonts w:ascii="Times New Roman" w:hAnsi="Times New Roman" w:cs="Times New Roman"/>
          <w:sz w:val="20"/>
        </w:rPr>
        <w:t>unit/kg/</w:t>
      </w:r>
      <w:proofErr w:type="spellStart"/>
      <w:r w:rsidRPr="005A739C">
        <w:rPr>
          <w:rFonts w:ascii="Times New Roman" w:hAnsi="Times New Roman" w:cs="Times New Roman"/>
          <w:sz w:val="20"/>
        </w:rPr>
        <w:t>hr</w:t>
      </w:r>
      <w:proofErr w:type="spellEnd"/>
      <w:r w:rsidRPr="005A739C">
        <w:rPr>
          <w:rFonts w:ascii="Times New Roman" w:hAnsi="Times New Roman" w:cs="Times New Roman"/>
          <w:sz w:val="20"/>
        </w:rPr>
        <w:t>)</w:t>
      </w:r>
      <w:proofErr w:type="gramEnd"/>
      <w:r w:rsidRPr="005A739C">
        <w:rPr>
          <w:rFonts w:ascii="Times New Roman" w:hAnsi="Times New Roman" w:cs="Times New Roman"/>
          <w:sz w:val="20"/>
        </w:rPr>
        <w:t xml:space="preserve"> and standard-dose</w:t>
      </w:r>
      <w:r w:rsidR="005A739C" w:rsidRPr="005A739C">
        <w:rPr>
          <w:rFonts w:ascii="Times New Roman" w:hAnsi="Times New Roman" w:cs="Times New Roman"/>
          <w:sz w:val="20"/>
        </w:rPr>
        <w:t xml:space="preserve"> </w:t>
      </w:r>
      <w:r w:rsidRPr="005A739C">
        <w:rPr>
          <w:rFonts w:ascii="Times New Roman" w:hAnsi="Times New Roman" w:cs="Times New Roman"/>
          <w:sz w:val="20"/>
        </w:rPr>
        <w:t>insulin infusion (0.1 unit/kg/</w:t>
      </w:r>
      <w:proofErr w:type="spellStart"/>
      <w:r w:rsidRPr="005A739C">
        <w:rPr>
          <w:rFonts w:ascii="Times New Roman" w:hAnsi="Times New Roman" w:cs="Times New Roman"/>
          <w:sz w:val="20"/>
        </w:rPr>
        <w:t>hr</w:t>
      </w:r>
      <w:proofErr w:type="spellEnd"/>
      <w:r w:rsidRPr="005A739C">
        <w:rPr>
          <w:rFonts w:ascii="Times New Roman" w:hAnsi="Times New Roman" w:cs="Times New Roman"/>
          <w:sz w:val="20"/>
        </w:rPr>
        <w:t>) in children with DKA.</w:t>
      </w:r>
    </w:p>
    <w:p w14:paraId="018579AC" w14:textId="16533122" w:rsidR="00027040" w:rsidRPr="005A739C" w:rsidRDefault="00027040" w:rsidP="005A739C">
      <w:pPr>
        <w:spacing w:after="200" w:line="276" w:lineRule="auto"/>
        <w:jc w:val="both"/>
        <w:rPr>
          <w:rFonts w:ascii="Times New Roman" w:hAnsi="Times New Roman" w:cs="Times New Roman"/>
          <w:sz w:val="20"/>
        </w:rPr>
      </w:pPr>
      <w:r w:rsidRPr="005A739C">
        <w:rPr>
          <w:rFonts w:ascii="Times New Roman" w:hAnsi="Times New Roman" w:cs="Times New Roman"/>
          <w:b/>
          <w:sz w:val="20"/>
        </w:rPr>
        <w:t>Search methods:</w:t>
      </w:r>
      <w:r w:rsidR="005A739C" w:rsidRPr="005A739C">
        <w:rPr>
          <w:rFonts w:ascii="Times New Roman" w:hAnsi="Times New Roman" w:cs="Times New Roman"/>
          <w:sz w:val="20"/>
        </w:rPr>
        <w:t xml:space="preserve"> </w:t>
      </w:r>
      <w:r w:rsidRPr="005A739C">
        <w:rPr>
          <w:rFonts w:ascii="Times New Roman" w:hAnsi="Times New Roman" w:cs="Times New Roman"/>
          <w:sz w:val="20"/>
        </w:rPr>
        <w:t>We searched Ovid Medline (from 1946 to October 2</w:t>
      </w:r>
      <w:r w:rsidRPr="005A739C">
        <w:rPr>
          <w:rFonts w:ascii="Times New Roman" w:hAnsi="Times New Roman" w:cs="Times New Roman"/>
          <w:sz w:val="20"/>
          <w:vertAlign w:val="superscript"/>
        </w:rPr>
        <w:t>nd</w:t>
      </w:r>
      <w:r w:rsidRPr="005A739C">
        <w:rPr>
          <w:rFonts w:ascii="Times New Roman" w:hAnsi="Times New Roman" w:cs="Times New Roman"/>
          <w:sz w:val="20"/>
        </w:rPr>
        <w:t>, 2021), Ovid EMBASE (from 1974 to</w:t>
      </w:r>
      <w:r w:rsidR="005A739C" w:rsidRPr="005A739C">
        <w:rPr>
          <w:rFonts w:ascii="Times New Roman" w:hAnsi="Times New Roman" w:cs="Times New Roman"/>
          <w:sz w:val="20"/>
        </w:rPr>
        <w:t xml:space="preserve"> </w:t>
      </w:r>
      <w:r w:rsidRPr="005A739C">
        <w:rPr>
          <w:rFonts w:ascii="Times New Roman" w:hAnsi="Times New Roman" w:cs="Times New Roman"/>
          <w:sz w:val="20"/>
        </w:rPr>
        <w:t>October 2</w:t>
      </w:r>
      <w:r w:rsidRPr="005A739C">
        <w:rPr>
          <w:rFonts w:ascii="Times New Roman" w:hAnsi="Times New Roman" w:cs="Times New Roman"/>
          <w:sz w:val="20"/>
          <w:vertAlign w:val="superscript"/>
        </w:rPr>
        <w:t>nd</w:t>
      </w:r>
      <w:r w:rsidRPr="005A739C">
        <w:rPr>
          <w:rFonts w:ascii="Times New Roman" w:hAnsi="Times New Roman" w:cs="Times New Roman"/>
          <w:sz w:val="20"/>
        </w:rPr>
        <w:t>, 2021), clinicaltrial.gov for ongoing trials, and Cochrane library. We limited the search to English language and adult only, but we did not limit the search to any time or any</w:t>
      </w:r>
      <w:r w:rsidR="005A739C" w:rsidRPr="005A739C">
        <w:rPr>
          <w:rFonts w:ascii="Times New Roman" w:hAnsi="Times New Roman" w:cs="Times New Roman"/>
          <w:sz w:val="20"/>
        </w:rPr>
        <w:t xml:space="preserve"> </w:t>
      </w:r>
      <w:r w:rsidRPr="005A739C">
        <w:rPr>
          <w:rFonts w:ascii="Times New Roman" w:hAnsi="Times New Roman" w:cs="Times New Roman"/>
          <w:sz w:val="20"/>
        </w:rPr>
        <w:t>geographical location.</w:t>
      </w:r>
      <w:r w:rsidR="005A739C" w:rsidRPr="005A739C">
        <w:rPr>
          <w:rFonts w:ascii="Times New Roman" w:hAnsi="Times New Roman" w:cs="Times New Roman"/>
          <w:sz w:val="20"/>
        </w:rPr>
        <w:t xml:space="preserve"> </w:t>
      </w:r>
      <w:r w:rsidRPr="005A739C">
        <w:rPr>
          <w:rFonts w:ascii="Times New Roman" w:hAnsi="Times New Roman" w:cs="Times New Roman"/>
          <w:sz w:val="20"/>
        </w:rPr>
        <w:t>We also searched in the reference lists of other trials and review articles for further published</w:t>
      </w:r>
      <w:r w:rsidR="005A739C" w:rsidRPr="005A739C">
        <w:rPr>
          <w:rFonts w:ascii="Times New Roman" w:hAnsi="Times New Roman" w:cs="Times New Roman"/>
          <w:sz w:val="20"/>
        </w:rPr>
        <w:t xml:space="preserve"> </w:t>
      </w:r>
      <w:r w:rsidRPr="005A739C">
        <w:rPr>
          <w:rFonts w:ascii="Times New Roman" w:hAnsi="Times New Roman" w:cs="Times New Roman"/>
          <w:sz w:val="20"/>
        </w:rPr>
        <w:t>articles.</w:t>
      </w:r>
    </w:p>
    <w:p w14:paraId="5C6B7AF9" w14:textId="77777777" w:rsidR="005A739C" w:rsidRPr="005A739C" w:rsidRDefault="00027040" w:rsidP="005A739C">
      <w:pPr>
        <w:spacing w:after="200" w:line="276" w:lineRule="auto"/>
        <w:jc w:val="both"/>
        <w:rPr>
          <w:rFonts w:ascii="Times New Roman" w:hAnsi="Times New Roman" w:cs="Times New Roman"/>
          <w:sz w:val="20"/>
        </w:rPr>
      </w:pPr>
      <w:r w:rsidRPr="005A739C">
        <w:rPr>
          <w:rFonts w:ascii="Times New Roman" w:hAnsi="Times New Roman" w:cs="Times New Roman"/>
          <w:b/>
          <w:sz w:val="20"/>
        </w:rPr>
        <w:t>Data collection and analysis:</w:t>
      </w:r>
      <w:r w:rsidR="005A739C" w:rsidRPr="005A739C">
        <w:rPr>
          <w:rFonts w:ascii="Times New Roman" w:hAnsi="Times New Roman" w:cs="Times New Roman"/>
          <w:sz w:val="20"/>
        </w:rPr>
        <w:t xml:space="preserve"> </w:t>
      </w:r>
      <w:r w:rsidRPr="005A739C">
        <w:rPr>
          <w:rFonts w:ascii="Times New Roman" w:hAnsi="Times New Roman" w:cs="Times New Roman"/>
          <w:sz w:val="20"/>
        </w:rPr>
        <w:t>Two independent reviewers did data collection and risk of bias assessment. We used</w:t>
      </w:r>
      <w:r w:rsidR="005A739C" w:rsidRPr="005A739C">
        <w:rPr>
          <w:rFonts w:ascii="Times New Roman" w:hAnsi="Times New Roman" w:cs="Times New Roman"/>
          <w:sz w:val="20"/>
        </w:rPr>
        <w:t xml:space="preserve"> </w:t>
      </w:r>
      <w:r w:rsidRPr="005A739C">
        <w:rPr>
          <w:rFonts w:ascii="Times New Roman" w:hAnsi="Times New Roman" w:cs="Times New Roman"/>
          <w:sz w:val="20"/>
        </w:rPr>
        <w:t>the generic inverse variance method or Mantel-</w:t>
      </w:r>
      <w:proofErr w:type="spellStart"/>
      <w:r w:rsidRPr="005A739C">
        <w:rPr>
          <w:rFonts w:ascii="Times New Roman" w:hAnsi="Times New Roman" w:cs="Times New Roman"/>
          <w:sz w:val="20"/>
        </w:rPr>
        <w:t>Haenszel</w:t>
      </w:r>
      <w:proofErr w:type="spellEnd"/>
      <w:r w:rsidRPr="005A739C">
        <w:rPr>
          <w:rFonts w:ascii="Times New Roman" w:hAnsi="Times New Roman" w:cs="Times New Roman"/>
          <w:sz w:val="20"/>
        </w:rPr>
        <w:t xml:space="preserve"> as appropriate, and data were pooled</w:t>
      </w:r>
      <w:r w:rsidR="005A739C" w:rsidRPr="005A739C">
        <w:rPr>
          <w:rFonts w:ascii="Times New Roman" w:hAnsi="Times New Roman" w:cs="Times New Roman"/>
          <w:sz w:val="20"/>
        </w:rPr>
        <w:t xml:space="preserve"> </w:t>
      </w:r>
      <w:r w:rsidRPr="005A739C">
        <w:rPr>
          <w:rFonts w:ascii="Times New Roman" w:hAnsi="Times New Roman" w:cs="Times New Roman"/>
          <w:sz w:val="20"/>
        </w:rPr>
        <w:t xml:space="preserve">using the random-effects model. </w:t>
      </w:r>
    </w:p>
    <w:p w14:paraId="66AF9A6E" w14:textId="4589E171" w:rsidR="00027040" w:rsidRPr="005A739C" w:rsidRDefault="00027040" w:rsidP="005A739C">
      <w:pPr>
        <w:spacing w:after="200" w:line="276" w:lineRule="auto"/>
        <w:jc w:val="both"/>
        <w:rPr>
          <w:rFonts w:ascii="Times New Roman" w:hAnsi="Times New Roman" w:cs="Times New Roman"/>
          <w:sz w:val="20"/>
        </w:rPr>
      </w:pPr>
      <w:r w:rsidRPr="005A739C">
        <w:rPr>
          <w:rFonts w:ascii="Times New Roman" w:hAnsi="Times New Roman" w:cs="Times New Roman"/>
          <w:b/>
          <w:sz w:val="20"/>
        </w:rPr>
        <w:t>Results:</w:t>
      </w:r>
      <w:r w:rsidR="005A739C" w:rsidRPr="005A739C">
        <w:rPr>
          <w:rFonts w:ascii="Times New Roman" w:hAnsi="Times New Roman" w:cs="Times New Roman"/>
          <w:sz w:val="20"/>
        </w:rPr>
        <w:t xml:space="preserve"> </w:t>
      </w:r>
      <w:r w:rsidRPr="005A739C">
        <w:rPr>
          <w:rFonts w:ascii="Times New Roman" w:hAnsi="Times New Roman" w:cs="Times New Roman"/>
          <w:sz w:val="20"/>
        </w:rPr>
        <w:t>This review included three randomized controlled trials and one retrospective cohort study with a</w:t>
      </w:r>
      <w:r w:rsidR="005A739C" w:rsidRPr="005A739C">
        <w:rPr>
          <w:rFonts w:ascii="Times New Roman" w:hAnsi="Times New Roman" w:cs="Times New Roman"/>
          <w:sz w:val="20"/>
        </w:rPr>
        <w:t xml:space="preserve"> </w:t>
      </w:r>
      <w:r w:rsidRPr="005A739C">
        <w:rPr>
          <w:rFonts w:ascii="Times New Roman" w:hAnsi="Times New Roman" w:cs="Times New Roman"/>
          <w:sz w:val="20"/>
        </w:rPr>
        <w:t>control group. 253 patients were included, 121 patients were in the intervention arm, and 132</w:t>
      </w:r>
      <w:r w:rsidR="005A739C" w:rsidRPr="005A739C">
        <w:rPr>
          <w:rFonts w:ascii="Times New Roman" w:hAnsi="Times New Roman" w:cs="Times New Roman"/>
          <w:sz w:val="20"/>
        </w:rPr>
        <w:t xml:space="preserve"> </w:t>
      </w:r>
      <w:r w:rsidRPr="005A739C">
        <w:rPr>
          <w:rFonts w:ascii="Times New Roman" w:hAnsi="Times New Roman" w:cs="Times New Roman"/>
          <w:sz w:val="20"/>
        </w:rPr>
        <w:t>patients were in the control arm. All studies included pediatric patients who were less than 18-year-old. The risk of bias assessment showed a low risk of bias in three randomized trials and</w:t>
      </w:r>
      <w:r w:rsidR="005A739C" w:rsidRPr="005A739C">
        <w:rPr>
          <w:rFonts w:ascii="Times New Roman" w:hAnsi="Times New Roman" w:cs="Times New Roman"/>
          <w:sz w:val="20"/>
        </w:rPr>
        <w:t xml:space="preserve"> </w:t>
      </w:r>
      <w:r w:rsidRPr="005A739C">
        <w:rPr>
          <w:rFonts w:ascii="Times New Roman" w:hAnsi="Times New Roman" w:cs="Times New Roman"/>
          <w:sz w:val="20"/>
        </w:rPr>
        <w:t>some concern in the remaining nonrandomized study. There was moderate certainty of evidence</w:t>
      </w:r>
      <w:r w:rsidR="005A739C" w:rsidRPr="005A739C">
        <w:rPr>
          <w:rFonts w:ascii="Times New Roman" w:hAnsi="Times New Roman" w:cs="Times New Roman"/>
          <w:sz w:val="20"/>
        </w:rPr>
        <w:t xml:space="preserve"> </w:t>
      </w:r>
      <w:r w:rsidRPr="005A739C">
        <w:rPr>
          <w:rFonts w:ascii="Times New Roman" w:hAnsi="Times New Roman" w:cs="Times New Roman"/>
          <w:sz w:val="20"/>
        </w:rPr>
        <w:t>among all outcomes. There was no difference between low dose insulin infusion and standard</w:t>
      </w:r>
      <w:r w:rsidR="005A739C">
        <w:rPr>
          <w:rFonts w:ascii="Times New Roman" w:hAnsi="Times New Roman" w:cs="Times New Roman"/>
          <w:sz w:val="20"/>
        </w:rPr>
        <w:t xml:space="preserve"> </w:t>
      </w:r>
      <w:r w:rsidRPr="005A739C">
        <w:rPr>
          <w:rFonts w:ascii="Times New Roman" w:hAnsi="Times New Roman" w:cs="Times New Roman"/>
          <w:sz w:val="20"/>
        </w:rPr>
        <w:t>dose insulin infusion in the t</w:t>
      </w:r>
      <w:r w:rsidR="005A739C">
        <w:rPr>
          <w:rFonts w:ascii="Times New Roman" w:hAnsi="Times New Roman" w:cs="Times New Roman"/>
          <w:sz w:val="20"/>
        </w:rPr>
        <w:t>ime to resolution of DKA (MD:-0.55</w:t>
      </w:r>
      <w:proofErr w:type="gramStart"/>
      <w:r w:rsidR="005A739C">
        <w:rPr>
          <w:rFonts w:ascii="Times New Roman" w:hAnsi="Times New Roman" w:cs="Times New Roman"/>
          <w:sz w:val="20"/>
        </w:rPr>
        <w:t>,95</w:t>
      </w:r>
      <w:proofErr w:type="gramEnd"/>
      <w:r w:rsidR="005A739C">
        <w:rPr>
          <w:rFonts w:ascii="Times New Roman" w:hAnsi="Times New Roman" w:cs="Times New Roman"/>
          <w:sz w:val="20"/>
        </w:rPr>
        <w:t>% CI:</w:t>
      </w:r>
      <w:r w:rsidRPr="005A739C">
        <w:rPr>
          <w:rFonts w:ascii="Times New Roman" w:hAnsi="Times New Roman" w:cs="Times New Roman"/>
          <w:sz w:val="20"/>
        </w:rPr>
        <w:t>-2.58 to</w:t>
      </w:r>
      <w:r w:rsidR="005A739C" w:rsidRPr="005A739C">
        <w:rPr>
          <w:rFonts w:ascii="Times New Roman" w:hAnsi="Times New Roman" w:cs="Times New Roman"/>
          <w:sz w:val="20"/>
        </w:rPr>
        <w:t xml:space="preserve"> </w:t>
      </w:r>
      <w:r w:rsidRPr="005A739C">
        <w:rPr>
          <w:rFonts w:ascii="Times New Roman" w:hAnsi="Times New Roman" w:cs="Times New Roman"/>
          <w:sz w:val="20"/>
        </w:rPr>
        <w:t>1.48), rate of blood glucose decrease till reaches 250</w:t>
      </w:r>
      <w:r w:rsidR="005A739C">
        <w:rPr>
          <w:rFonts w:ascii="Times New Roman" w:hAnsi="Times New Roman" w:cs="Times New Roman"/>
          <w:sz w:val="20"/>
        </w:rPr>
        <w:t xml:space="preserve"> mg/dl (MD:-7.23,95% CI:-</w:t>
      </w:r>
      <w:r w:rsidRPr="005A739C">
        <w:rPr>
          <w:rFonts w:ascii="Times New Roman" w:hAnsi="Times New Roman" w:cs="Times New Roman"/>
          <w:sz w:val="20"/>
        </w:rPr>
        <w:t>17.83 to 3.36), a</w:t>
      </w:r>
      <w:r w:rsidR="005A739C">
        <w:rPr>
          <w:rFonts w:ascii="Times New Roman" w:hAnsi="Times New Roman" w:cs="Times New Roman"/>
          <w:sz w:val="20"/>
        </w:rPr>
        <w:t>nd cerebral edema episodes (RD:-0.01,95% CI:-</w:t>
      </w:r>
      <w:r w:rsidRPr="005A739C">
        <w:rPr>
          <w:rFonts w:ascii="Times New Roman" w:hAnsi="Times New Roman" w:cs="Times New Roman"/>
          <w:sz w:val="20"/>
        </w:rPr>
        <w:t>0.05 to 0.04). The risk of hypoglycemia was</w:t>
      </w:r>
      <w:r w:rsidR="005A739C" w:rsidRPr="005A739C">
        <w:rPr>
          <w:rFonts w:ascii="Times New Roman" w:hAnsi="Times New Roman" w:cs="Times New Roman"/>
          <w:sz w:val="20"/>
        </w:rPr>
        <w:t xml:space="preserve"> </w:t>
      </w:r>
      <w:r w:rsidRPr="005A739C">
        <w:rPr>
          <w:rFonts w:ascii="Times New Roman" w:hAnsi="Times New Roman" w:cs="Times New Roman"/>
          <w:sz w:val="20"/>
        </w:rPr>
        <w:t>lower with</w:t>
      </w:r>
      <w:r w:rsidR="005A739C">
        <w:rPr>
          <w:rFonts w:ascii="Times New Roman" w:hAnsi="Times New Roman" w:cs="Times New Roman"/>
          <w:sz w:val="20"/>
        </w:rPr>
        <w:t xml:space="preserve"> low-dose insulin infusion (RD:-0.12</w:t>
      </w:r>
      <w:proofErr w:type="gramStart"/>
      <w:r w:rsidR="005A739C">
        <w:rPr>
          <w:rFonts w:ascii="Times New Roman" w:hAnsi="Times New Roman" w:cs="Times New Roman"/>
          <w:sz w:val="20"/>
        </w:rPr>
        <w:t>,95</w:t>
      </w:r>
      <w:proofErr w:type="gramEnd"/>
      <w:r w:rsidR="005A739C">
        <w:rPr>
          <w:rFonts w:ascii="Times New Roman" w:hAnsi="Times New Roman" w:cs="Times New Roman"/>
          <w:sz w:val="20"/>
        </w:rPr>
        <w:t>% CIs:–0.21 to –</w:t>
      </w:r>
      <w:r w:rsidRPr="005A739C">
        <w:rPr>
          <w:rFonts w:ascii="Times New Roman" w:hAnsi="Times New Roman" w:cs="Times New Roman"/>
          <w:sz w:val="20"/>
        </w:rPr>
        <w:t>0.04)</w:t>
      </w:r>
    </w:p>
    <w:p w14:paraId="12810C91" w14:textId="559A88E3" w:rsidR="00027040" w:rsidRPr="005A739C" w:rsidRDefault="005A739C" w:rsidP="005A739C">
      <w:pPr>
        <w:spacing w:after="200" w:line="276" w:lineRule="auto"/>
        <w:jc w:val="both"/>
        <w:rPr>
          <w:rFonts w:ascii="Times New Roman" w:hAnsi="Times New Roman" w:cs="Times New Roman"/>
          <w:sz w:val="20"/>
        </w:rPr>
      </w:pPr>
      <w:r>
        <w:rPr>
          <w:rFonts w:ascii="Times New Roman" w:hAnsi="Times New Roman" w:cs="Times New Roman"/>
          <w:b/>
          <w:sz w:val="20"/>
        </w:rPr>
        <w:t>Conclusion</w:t>
      </w:r>
      <w:r w:rsidR="00027040" w:rsidRPr="005A739C">
        <w:rPr>
          <w:rFonts w:ascii="Times New Roman" w:hAnsi="Times New Roman" w:cs="Times New Roman"/>
          <w:b/>
          <w:sz w:val="20"/>
        </w:rPr>
        <w:t>:</w:t>
      </w:r>
      <w:r w:rsidRPr="005A739C">
        <w:rPr>
          <w:rFonts w:ascii="Times New Roman" w:hAnsi="Times New Roman" w:cs="Times New Roman"/>
          <w:sz w:val="20"/>
        </w:rPr>
        <w:t xml:space="preserve"> </w:t>
      </w:r>
      <w:r w:rsidR="00027040" w:rsidRPr="005A739C">
        <w:rPr>
          <w:rFonts w:ascii="Times New Roman" w:hAnsi="Times New Roman" w:cs="Times New Roman"/>
          <w:sz w:val="20"/>
        </w:rPr>
        <w:t>Moderate level of evidence showed no difference in the time to resolution of DKA, rate of blood</w:t>
      </w:r>
      <w:r w:rsidRPr="005A739C">
        <w:rPr>
          <w:rFonts w:ascii="Times New Roman" w:hAnsi="Times New Roman" w:cs="Times New Roman"/>
          <w:sz w:val="20"/>
        </w:rPr>
        <w:t xml:space="preserve"> </w:t>
      </w:r>
      <w:r w:rsidR="00027040" w:rsidRPr="005A739C">
        <w:rPr>
          <w:rFonts w:ascii="Times New Roman" w:hAnsi="Times New Roman" w:cs="Times New Roman"/>
          <w:sz w:val="20"/>
        </w:rPr>
        <w:t>glucose decreases, and cerebral edema episodes between low dose insulin infusion and standard</w:t>
      </w:r>
      <w:r>
        <w:rPr>
          <w:rFonts w:ascii="Times New Roman" w:hAnsi="Times New Roman" w:cs="Times New Roman"/>
          <w:sz w:val="20"/>
        </w:rPr>
        <w:t xml:space="preserve"> </w:t>
      </w:r>
      <w:r w:rsidR="00027040" w:rsidRPr="005A739C">
        <w:rPr>
          <w:rFonts w:ascii="Times New Roman" w:hAnsi="Times New Roman" w:cs="Times New Roman"/>
          <w:sz w:val="20"/>
        </w:rPr>
        <w:t>dose insulin infusion for children with DKA. On the other hand, the risk of hypoglycemia was lower with low-dose insulin infusion. This review showed that low-dose insulin infusion can be used for children with DKA and may be associated with a lower risk of hypoglycemia.</w:t>
      </w:r>
    </w:p>
    <w:p w14:paraId="49EB8DCA" w14:textId="25BD3CC9" w:rsidR="0090266E" w:rsidRPr="005A739C" w:rsidRDefault="005A739C" w:rsidP="005A739C">
      <w:pPr>
        <w:spacing w:after="200" w:line="276" w:lineRule="auto"/>
        <w:rPr>
          <w:rFonts w:ascii="Times New Roman" w:hAnsi="Times New Roman" w:cs="Times New Roman"/>
          <w:b/>
        </w:rPr>
      </w:pPr>
      <w:r w:rsidRPr="005A739C">
        <w:rPr>
          <w:rFonts w:ascii="Times New Roman" w:hAnsi="Times New Roman" w:cs="Times New Roman"/>
          <w:b/>
        </w:rPr>
        <w:t>Biography</w:t>
      </w:r>
    </w:p>
    <w:p w14:paraId="74F9E717" w14:textId="0E9620E2" w:rsidR="00027040" w:rsidRPr="005A739C" w:rsidRDefault="0090266E" w:rsidP="005A739C">
      <w:pPr>
        <w:spacing w:after="200" w:line="276" w:lineRule="auto"/>
        <w:jc w:val="both"/>
        <w:rPr>
          <w:rFonts w:ascii="Times New Roman" w:hAnsi="Times New Roman" w:cs="Times New Roman"/>
          <w:sz w:val="20"/>
        </w:rPr>
      </w:pPr>
      <w:proofErr w:type="spellStart"/>
      <w:r w:rsidRPr="005A739C">
        <w:rPr>
          <w:rFonts w:ascii="Times New Roman" w:hAnsi="Times New Roman" w:cs="Times New Roman"/>
          <w:sz w:val="20"/>
        </w:rPr>
        <w:t>Saif</w:t>
      </w:r>
      <w:proofErr w:type="spellEnd"/>
      <w:r w:rsidRPr="005A739C">
        <w:rPr>
          <w:rFonts w:ascii="Times New Roman" w:hAnsi="Times New Roman" w:cs="Times New Roman"/>
          <w:sz w:val="20"/>
        </w:rPr>
        <w:t xml:space="preserve"> </w:t>
      </w:r>
      <w:proofErr w:type="spellStart"/>
      <w:r w:rsidRPr="005A739C">
        <w:rPr>
          <w:rFonts w:ascii="Times New Roman" w:hAnsi="Times New Roman" w:cs="Times New Roman"/>
          <w:sz w:val="20"/>
        </w:rPr>
        <w:t>Awlad</w:t>
      </w:r>
      <w:proofErr w:type="spellEnd"/>
      <w:r w:rsidRPr="005A739C">
        <w:rPr>
          <w:rFonts w:ascii="Times New Roman" w:hAnsi="Times New Roman" w:cs="Times New Roman"/>
          <w:sz w:val="20"/>
        </w:rPr>
        <w:t xml:space="preserve"> </w:t>
      </w:r>
      <w:proofErr w:type="spellStart"/>
      <w:r w:rsidRPr="005A739C">
        <w:rPr>
          <w:rFonts w:ascii="Times New Roman" w:hAnsi="Times New Roman" w:cs="Times New Roman"/>
          <w:sz w:val="20"/>
        </w:rPr>
        <w:t>thani</w:t>
      </w:r>
      <w:proofErr w:type="spellEnd"/>
      <w:r w:rsidRPr="005A739C">
        <w:rPr>
          <w:rFonts w:ascii="Times New Roman" w:hAnsi="Times New Roman" w:cs="Times New Roman"/>
          <w:sz w:val="20"/>
        </w:rPr>
        <w:t xml:space="preserve"> is a pediatric </w:t>
      </w:r>
      <w:proofErr w:type="spellStart"/>
      <w:r w:rsidRPr="005A739C">
        <w:rPr>
          <w:rFonts w:ascii="Times New Roman" w:hAnsi="Times New Roman" w:cs="Times New Roman"/>
          <w:sz w:val="20"/>
        </w:rPr>
        <w:t>Intensivist</w:t>
      </w:r>
      <w:proofErr w:type="spellEnd"/>
      <w:r w:rsidRPr="005A739C">
        <w:rPr>
          <w:rFonts w:ascii="Times New Roman" w:hAnsi="Times New Roman" w:cs="Times New Roman"/>
          <w:sz w:val="20"/>
        </w:rPr>
        <w:t xml:space="preserve"> from</w:t>
      </w:r>
      <w:r w:rsidR="00AF0F65">
        <w:rPr>
          <w:rFonts w:ascii="Times New Roman" w:hAnsi="Times New Roman" w:cs="Times New Roman"/>
          <w:sz w:val="20"/>
        </w:rPr>
        <w:t xml:space="preserve"> </w:t>
      </w:r>
      <w:r w:rsidRPr="005A739C">
        <w:rPr>
          <w:rFonts w:ascii="Times New Roman" w:hAnsi="Times New Roman" w:cs="Times New Roman"/>
          <w:sz w:val="20"/>
        </w:rPr>
        <w:t xml:space="preserve">Sultanate of Oman. He finished his medical school in Sultan </w:t>
      </w:r>
      <w:proofErr w:type="spellStart"/>
      <w:r w:rsidRPr="005A739C">
        <w:rPr>
          <w:rFonts w:ascii="Times New Roman" w:hAnsi="Times New Roman" w:cs="Times New Roman"/>
          <w:sz w:val="20"/>
        </w:rPr>
        <w:t>Qaboos</w:t>
      </w:r>
      <w:proofErr w:type="spellEnd"/>
      <w:r w:rsidR="00AF0F65">
        <w:rPr>
          <w:rFonts w:ascii="Times New Roman" w:hAnsi="Times New Roman" w:cs="Times New Roman"/>
          <w:sz w:val="20"/>
        </w:rPr>
        <w:t xml:space="preserve"> </w:t>
      </w:r>
      <w:r w:rsidRPr="005A739C">
        <w:rPr>
          <w:rFonts w:ascii="Times New Roman" w:hAnsi="Times New Roman" w:cs="Times New Roman"/>
          <w:sz w:val="20"/>
        </w:rPr>
        <w:t xml:space="preserve">University and pediatric residency in Oman Medical Specialty board in Oman. He finished his PICU fellowship in McMaster </w:t>
      </w:r>
      <w:r w:rsidR="00AF0F65" w:rsidRPr="005A739C">
        <w:rPr>
          <w:rFonts w:ascii="Times New Roman" w:hAnsi="Times New Roman" w:cs="Times New Roman"/>
          <w:sz w:val="20"/>
        </w:rPr>
        <w:t>University</w:t>
      </w:r>
      <w:r w:rsidRPr="005A739C">
        <w:rPr>
          <w:rFonts w:ascii="Times New Roman" w:hAnsi="Times New Roman" w:cs="Times New Roman"/>
          <w:sz w:val="20"/>
        </w:rPr>
        <w:t xml:space="preserve"> in Canada. Currently he is working in a tertiary hospital in Oman and acting as deputy director of cardiac ICU. He is the founder and leader of pediatric home ventilation team. He is interested in improving quality of care and PICU patient’s outcome. He participated in pilot RCT and qualitative study about early </w:t>
      </w:r>
      <w:r w:rsidRPr="005A739C">
        <w:rPr>
          <w:rFonts w:ascii="Times New Roman" w:hAnsi="Times New Roman" w:cs="Times New Roman"/>
          <w:sz w:val="20"/>
        </w:rPr>
        <w:lastRenderedPageBreak/>
        <w:t>mobilization in critically ill children. He is interested in research and education and working in many research project and coordinating PICU teaching for PICU residents.</w:t>
      </w:r>
      <w:bookmarkEnd w:id="0"/>
    </w:p>
    <w:sectPr w:rsidR="00027040" w:rsidRPr="005A739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040"/>
    <w:rsid w:val="00027040"/>
    <w:rsid w:val="0006299E"/>
    <w:rsid w:val="00213432"/>
    <w:rsid w:val="003904C0"/>
    <w:rsid w:val="004363A7"/>
    <w:rsid w:val="005A739C"/>
    <w:rsid w:val="0090266E"/>
    <w:rsid w:val="00A13B28"/>
    <w:rsid w:val="00AF0F65"/>
    <w:rsid w:val="00C57245"/>
    <w:rsid w:val="00DC25A3"/>
    <w:rsid w:val="00F56D4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C5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069120">
      <w:bodyDiv w:val="1"/>
      <w:marLeft w:val="0"/>
      <w:marRight w:val="0"/>
      <w:marTop w:val="0"/>
      <w:marBottom w:val="0"/>
      <w:divBdr>
        <w:top w:val="none" w:sz="0" w:space="0" w:color="auto"/>
        <w:left w:val="none" w:sz="0" w:space="0" w:color="auto"/>
        <w:bottom w:val="none" w:sz="0" w:space="0" w:color="auto"/>
        <w:right w:val="none" w:sz="0" w:space="0" w:color="auto"/>
      </w:divBdr>
      <w:divsChild>
        <w:div w:id="1391807969">
          <w:marLeft w:val="0"/>
          <w:marRight w:val="0"/>
          <w:marTop w:val="0"/>
          <w:marBottom w:val="0"/>
          <w:divBdr>
            <w:top w:val="none" w:sz="0" w:space="0" w:color="auto"/>
            <w:left w:val="none" w:sz="0" w:space="0" w:color="auto"/>
            <w:bottom w:val="none" w:sz="0" w:space="0" w:color="auto"/>
            <w:right w:val="none" w:sz="0" w:space="0" w:color="auto"/>
          </w:divBdr>
        </w:div>
      </w:divsChild>
    </w:div>
    <w:div w:id="1326087822">
      <w:bodyDiv w:val="1"/>
      <w:marLeft w:val="0"/>
      <w:marRight w:val="0"/>
      <w:marTop w:val="0"/>
      <w:marBottom w:val="0"/>
      <w:divBdr>
        <w:top w:val="none" w:sz="0" w:space="0" w:color="auto"/>
        <w:left w:val="none" w:sz="0" w:space="0" w:color="auto"/>
        <w:bottom w:val="none" w:sz="0" w:space="0" w:color="auto"/>
        <w:right w:val="none" w:sz="0" w:space="0" w:color="auto"/>
      </w:divBdr>
      <w:divsChild>
        <w:div w:id="756171519">
          <w:marLeft w:val="0"/>
          <w:marRight w:val="0"/>
          <w:marTop w:val="0"/>
          <w:marBottom w:val="60"/>
          <w:divBdr>
            <w:top w:val="none" w:sz="0" w:space="0" w:color="auto"/>
            <w:left w:val="none" w:sz="0" w:space="0" w:color="auto"/>
            <w:bottom w:val="none" w:sz="0" w:space="0" w:color="auto"/>
            <w:right w:val="none" w:sz="0" w:space="0" w:color="auto"/>
          </w:divBdr>
          <w:divsChild>
            <w:div w:id="596250379">
              <w:marLeft w:val="0"/>
              <w:marRight w:val="0"/>
              <w:marTop w:val="0"/>
              <w:marBottom w:val="0"/>
              <w:divBdr>
                <w:top w:val="none" w:sz="0" w:space="0" w:color="auto"/>
                <w:left w:val="none" w:sz="0" w:space="0" w:color="auto"/>
                <w:bottom w:val="none" w:sz="0" w:space="0" w:color="auto"/>
                <w:right w:val="none" w:sz="0" w:space="0" w:color="auto"/>
              </w:divBdr>
              <w:divsChild>
                <w:div w:id="1445953022">
                  <w:marLeft w:val="0"/>
                  <w:marRight w:val="0"/>
                  <w:marTop w:val="0"/>
                  <w:marBottom w:val="0"/>
                  <w:divBdr>
                    <w:top w:val="none" w:sz="0" w:space="0" w:color="auto"/>
                    <w:left w:val="none" w:sz="0" w:space="0" w:color="auto"/>
                    <w:bottom w:val="none" w:sz="0" w:space="0" w:color="auto"/>
                    <w:right w:val="none" w:sz="0" w:space="0" w:color="auto"/>
                  </w:divBdr>
                  <w:divsChild>
                    <w:div w:id="1177426276">
                      <w:marLeft w:val="0"/>
                      <w:marRight w:val="150"/>
                      <w:marTop w:val="30"/>
                      <w:marBottom w:val="0"/>
                      <w:divBdr>
                        <w:top w:val="none" w:sz="0" w:space="0" w:color="auto"/>
                        <w:left w:val="none" w:sz="0" w:space="0" w:color="auto"/>
                        <w:bottom w:val="none" w:sz="0" w:space="0" w:color="auto"/>
                        <w:right w:val="none" w:sz="0" w:space="0" w:color="auto"/>
                      </w:divBdr>
                      <w:divsChild>
                        <w:div w:id="66805525">
                          <w:marLeft w:val="0"/>
                          <w:marRight w:val="0"/>
                          <w:marTop w:val="0"/>
                          <w:marBottom w:val="0"/>
                          <w:divBdr>
                            <w:top w:val="none" w:sz="0" w:space="0" w:color="auto"/>
                            <w:left w:val="none" w:sz="0" w:space="0" w:color="auto"/>
                            <w:bottom w:val="none" w:sz="0" w:space="0" w:color="auto"/>
                            <w:right w:val="none" w:sz="0" w:space="0" w:color="auto"/>
                          </w:divBdr>
                        </w:div>
                      </w:divsChild>
                    </w:div>
                    <w:div w:id="1879731896">
                      <w:marLeft w:val="0"/>
                      <w:marRight w:val="150"/>
                      <w:marTop w:val="30"/>
                      <w:marBottom w:val="0"/>
                      <w:divBdr>
                        <w:top w:val="none" w:sz="0" w:space="0" w:color="auto"/>
                        <w:left w:val="none" w:sz="0" w:space="0" w:color="auto"/>
                        <w:bottom w:val="none" w:sz="0" w:space="0" w:color="auto"/>
                        <w:right w:val="none" w:sz="0" w:space="0" w:color="auto"/>
                      </w:divBdr>
                      <w:divsChild>
                        <w:div w:id="1869563234">
                          <w:marLeft w:val="0"/>
                          <w:marRight w:val="0"/>
                          <w:marTop w:val="0"/>
                          <w:marBottom w:val="0"/>
                          <w:divBdr>
                            <w:top w:val="none" w:sz="0" w:space="0" w:color="auto"/>
                            <w:left w:val="none" w:sz="0" w:space="0" w:color="auto"/>
                            <w:bottom w:val="none" w:sz="0" w:space="0" w:color="auto"/>
                            <w:right w:val="none" w:sz="0" w:space="0" w:color="auto"/>
                          </w:divBdr>
                        </w:div>
                      </w:divsChild>
                    </w:div>
                    <w:div w:id="1511792127">
                      <w:marLeft w:val="0"/>
                      <w:marRight w:val="0"/>
                      <w:marTop w:val="0"/>
                      <w:marBottom w:val="0"/>
                      <w:divBdr>
                        <w:top w:val="none" w:sz="0" w:space="0" w:color="auto"/>
                        <w:left w:val="none" w:sz="0" w:space="0" w:color="auto"/>
                        <w:bottom w:val="none" w:sz="0" w:space="0" w:color="auto"/>
                        <w:right w:val="none" w:sz="0" w:space="0" w:color="auto"/>
                      </w:divBdr>
                      <w:divsChild>
                        <w:div w:id="93817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514</Words>
  <Characters>2930</Characters>
  <Application>Microsoft Office Word</Application>
  <DocSecurity>0</DocSecurity>
  <Lines>24</Lines>
  <Paragraphs>6</Paragraphs>
  <ScaleCrop>false</ScaleCrop>
  <Company/>
  <LinksUpToDate>false</LinksUpToDate>
  <CharactersWithSpaces>3438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 awladthani</dc:creator>
  <cp:keywords/>
  <dc:description/>
  <cp:lastModifiedBy>Swetha Sandala</cp:lastModifiedBy>
  <cp:revision>8</cp:revision>
  <dcterms:created xsi:type="dcterms:W3CDTF">2022-10-11T17:32:00Z</dcterms:created>
  <dcterms:modified xsi:type="dcterms:W3CDTF">2022-10-13T05:40:00Z</dcterms:modified>
</cp:coreProperties>
</file>