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E11E3">
      <w:pPr>
        <w:rPr>
          <w:rFonts w:ascii="Times New Roman" w:hAnsi="Times New Roman" w:cs="Times New Roman"/>
          <w:b/>
          <w:sz w:val="32"/>
        </w:rPr>
      </w:pPr>
      <w:r w:rsidRPr="007E11E3">
        <w:rPr>
          <w:rFonts w:ascii="Times New Roman" w:hAnsi="Times New Roman" w:cs="Times New Roman"/>
          <w:b/>
          <w:sz w:val="32"/>
        </w:rPr>
        <w:t>Temporal changes in United Kingdom palliative care metrics and implications to machine learning methods</w:t>
      </w:r>
    </w:p>
    <w:p w:rsidR="007E11E3" w:rsidRDefault="007E11E3">
      <w:pPr>
        <w:rPr>
          <w:rFonts w:ascii="Times New Roman" w:hAnsi="Times New Roman" w:cs="Times New Roman"/>
          <w:sz w:val="24"/>
        </w:rPr>
      </w:pPr>
      <w:proofErr w:type="spellStart"/>
      <w:r w:rsidRPr="007E11E3">
        <w:rPr>
          <w:rFonts w:ascii="Times New Roman" w:hAnsi="Times New Roman" w:cs="Times New Roman"/>
          <w:sz w:val="24"/>
        </w:rPr>
        <w:t>Tarun</w:t>
      </w:r>
      <w:proofErr w:type="spellEnd"/>
      <w:r w:rsidRPr="007E11E3">
        <w:rPr>
          <w:rFonts w:ascii="Times New Roman" w:hAnsi="Times New Roman" w:cs="Times New Roman"/>
          <w:sz w:val="24"/>
        </w:rPr>
        <w:t xml:space="preserve"> Martheswaran</w:t>
      </w:r>
      <w:r w:rsidRPr="007E11E3">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7E11E3">
        <w:rPr>
          <w:rFonts w:ascii="Times New Roman" w:hAnsi="Times New Roman" w:cs="Times New Roman"/>
          <w:sz w:val="24"/>
        </w:rPr>
        <w:t>Shilp</w:t>
      </w:r>
      <w:proofErr w:type="spellEnd"/>
      <w:r w:rsidRPr="007E11E3">
        <w:rPr>
          <w:rFonts w:ascii="Times New Roman" w:hAnsi="Times New Roman" w:cs="Times New Roman"/>
          <w:sz w:val="24"/>
        </w:rPr>
        <w:t xml:space="preserve"> Shah</w:t>
      </w:r>
      <w:r w:rsidRPr="007E11E3">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sidRPr="007E11E3">
        <w:rPr>
          <w:rFonts w:ascii="Times New Roman" w:hAnsi="Times New Roman" w:cs="Times New Roman"/>
          <w:sz w:val="24"/>
        </w:rPr>
        <w:t>Ashvin</w:t>
      </w:r>
      <w:proofErr w:type="spellEnd"/>
      <w:r w:rsidRPr="007E11E3">
        <w:rPr>
          <w:rFonts w:ascii="Times New Roman" w:hAnsi="Times New Roman" w:cs="Times New Roman"/>
          <w:sz w:val="24"/>
        </w:rPr>
        <w:t xml:space="preserve"> Kumar</w:t>
      </w:r>
      <w:r w:rsidRPr="007E11E3">
        <w:rPr>
          <w:rFonts w:ascii="Times New Roman" w:hAnsi="Times New Roman" w:cs="Times New Roman"/>
          <w:sz w:val="24"/>
          <w:vertAlign w:val="superscript"/>
        </w:rPr>
        <w:t>3</w:t>
      </w:r>
      <w:r>
        <w:rPr>
          <w:rFonts w:ascii="Times New Roman" w:hAnsi="Times New Roman" w:cs="Times New Roman"/>
          <w:sz w:val="24"/>
        </w:rPr>
        <w:t xml:space="preserve">, </w:t>
      </w:r>
      <w:proofErr w:type="spellStart"/>
      <w:r w:rsidRPr="007E11E3">
        <w:rPr>
          <w:rFonts w:ascii="Times New Roman" w:hAnsi="Times New Roman" w:cs="Times New Roman"/>
          <w:sz w:val="24"/>
        </w:rPr>
        <w:t>Tanisha</w:t>
      </w:r>
      <w:proofErr w:type="spellEnd"/>
      <w:r w:rsidRPr="007E11E3">
        <w:rPr>
          <w:rFonts w:ascii="Times New Roman" w:hAnsi="Times New Roman" w:cs="Times New Roman"/>
          <w:sz w:val="24"/>
        </w:rPr>
        <w:t xml:space="preserve"> Martheswaran</w:t>
      </w:r>
      <w:r w:rsidRPr="007E11E3">
        <w:rPr>
          <w:rFonts w:ascii="Times New Roman" w:hAnsi="Times New Roman" w:cs="Times New Roman"/>
          <w:sz w:val="24"/>
          <w:vertAlign w:val="superscript"/>
        </w:rPr>
        <w:t>4</w:t>
      </w:r>
      <w:r>
        <w:rPr>
          <w:rFonts w:ascii="Times New Roman" w:hAnsi="Times New Roman" w:cs="Times New Roman"/>
          <w:sz w:val="24"/>
        </w:rPr>
        <w:t xml:space="preserve"> and </w:t>
      </w:r>
      <w:proofErr w:type="spellStart"/>
      <w:r w:rsidRPr="007E11E3">
        <w:rPr>
          <w:rFonts w:ascii="Times New Roman" w:hAnsi="Times New Roman" w:cs="Times New Roman"/>
          <w:sz w:val="24"/>
        </w:rPr>
        <w:t>Sahil</w:t>
      </w:r>
      <w:proofErr w:type="spellEnd"/>
      <w:r w:rsidRPr="007E11E3">
        <w:rPr>
          <w:rFonts w:ascii="Times New Roman" w:hAnsi="Times New Roman" w:cs="Times New Roman"/>
          <w:sz w:val="24"/>
        </w:rPr>
        <w:t xml:space="preserve"> Shah</w:t>
      </w:r>
      <w:r w:rsidRPr="007E11E3">
        <w:rPr>
          <w:rFonts w:ascii="Times New Roman" w:hAnsi="Times New Roman" w:cs="Times New Roman"/>
          <w:sz w:val="24"/>
          <w:vertAlign w:val="superscript"/>
        </w:rPr>
        <w:t>5</w:t>
      </w:r>
    </w:p>
    <w:p w:rsidR="007E11E3" w:rsidRPr="007E11E3" w:rsidRDefault="007E11E3" w:rsidP="007E11E3">
      <w:pPr>
        <w:spacing w:after="0"/>
        <w:rPr>
          <w:rFonts w:ascii="Times New Roman" w:hAnsi="Times New Roman" w:cs="Times New Roman"/>
        </w:rPr>
      </w:pPr>
      <w:r w:rsidRPr="007E11E3">
        <w:rPr>
          <w:rFonts w:ascii="Times New Roman" w:hAnsi="Times New Roman" w:cs="Times New Roman"/>
          <w:vertAlign w:val="superscript"/>
        </w:rPr>
        <w:t>1</w:t>
      </w:r>
      <w:r w:rsidRPr="007E11E3">
        <w:rPr>
          <w:rFonts w:ascii="Times New Roman" w:hAnsi="Times New Roman" w:cs="Times New Roman"/>
        </w:rPr>
        <w:t>Stanford University, USA</w:t>
      </w:r>
    </w:p>
    <w:p w:rsidR="007E11E3" w:rsidRPr="007E11E3" w:rsidRDefault="007E11E3" w:rsidP="007E11E3">
      <w:pPr>
        <w:spacing w:after="0"/>
        <w:rPr>
          <w:rFonts w:ascii="Times New Roman" w:hAnsi="Times New Roman" w:cs="Times New Roman"/>
        </w:rPr>
      </w:pPr>
      <w:r w:rsidRPr="007E11E3">
        <w:rPr>
          <w:rFonts w:ascii="Times New Roman" w:hAnsi="Times New Roman" w:cs="Times New Roman"/>
          <w:vertAlign w:val="superscript"/>
        </w:rPr>
        <w:t>2</w:t>
      </w:r>
      <w:r w:rsidRPr="007E11E3">
        <w:rPr>
          <w:rFonts w:ascii="Times New Roman" w:hAnsi="Times New Roman" w:cs="Times New Roman"/>
        </w:rPr>
        <w:t>University of California, USA</w:t>
      </w:r>
    </w:p>
    <w:p w:rsidR="007E11E3" w:rsidRPr="007E11E3" w:rsidRDefault="007E11E3" w:rsidP="007E11E3">
      <w:pPr>
        <w:spacing w:after="0"/>
        <w:rPr>
          <w:rFonts w:ascii="Times New Roman" w:hAnsi="Times New Roman" w:cs="Times New Roman"/>
        </w:rPr>
      </w:pPr>
      <w:r w:rsidRPr="007E11E3">
        <w:rPr>
          <w:rFonts w:ascii="Times New Roman" w:hAnsi="Times New Roman" w:cs="Times New Roman"/>
          <w:vertAlign w:val="superscript"/>
        </w:rPr>
        <w:t>3</w:t>
      </w:r>
      <w:r w:rsidRPr="007E11E3">
        <w:rPr>
          <w:rFonts w:ascii="Times New Roman" w:hAnsi="Times New Roman" w:cs="Times New Roman"/>
        </w:rPr>
        <w:t>University of Chicago, USA</w:t>
      </w:r>
    </w:p>
    <w:p w:rsidR="007E11E3" w:rsidRPr="007E11E3" w:rsidRDefault="007E11E3" w:rsidP="007E11E3">
      <w:pPr>
        <w:spacing w:after="0"/>
        <w:rPr>
          <w:rFonts w:ascii="Times New Roman" w:hAnsi="Times New Roman" w:cs="Times New Roman"/>
        </w:rPr>
      </w:pPr>
      <w:r w:rsidRPr="007E11E3">
        <w:rPr>
          <w:rFonts w:ascii="Times New Roman" w:hAnsi="Times New Roman" w:cs="Times New Roman"/>
          <w:vertAlign w:val="superscript"/>
        </w:rPr>
        <w:t>4</w:t>
      </w:r>
      <w:r w:rsidRPr="007E11E3">
        <w:rPr>
          <w:rFonts w:ascii="Times New Roman" w:hAnsi="Times New Roman" w:cs="Times New Roman"/>
        </w:rPr>
        <w:t>Harvard University, USA</w:t>
      </w:r>
    </w:p>
    <w:p w:rsidR="007E11E3" w:rsidRPr="007E11E3" w:rsidRDefault="007E11E3">
      <w:pPr>
        <w:rPr>
          <w:rFonts w:ascii="Times New Roman" w:hAnsi="Times New Roman" w:cs="Times New Roman"/>
        </w:rPr>
      </w:pPr>
      <w:r w:rsidRPr="007E11E3">
        <w:rPr>
          <w:rFonts w:ascii="Times New Roman" w:hAnsi="Times New Roman" w:cs="Times New Roman"/>
          <w:vertAlign w:val="superscript"/>
        </w:rPr>
        <w:t>5</w:t>
      </w:r>
      <w:r w:rsidRPr="007E11E3">
        <w:rPr>
          <w:rFonts w:ascii="Times New Roman" w:hAnsi="Times New Roman" w:cs="Times New Roman"/>
        </w:rPr>
        <w:t>University of Utah, USA</w:t>
      </w:r>
    </w:p>
    <w:p w:rsidR="007E11E3" w:rsidRPr="007E11E3" w:rsidRDefault="007E11E3" w:rsidP="007E11E3">
      <w:pPr>
        <w:jc w:val="center"/>
        <w:rPr>
          <w:rFonts w:ascii="Times New Roman" w:hAnsi="Times New Roman" w:cs="Times New Roman"/>
          <w:b/>
          <w:sz w:val="24"/>
        </w:rPr>
      </w:pPr>
      <w:r w:rsidRPr="007E11E3">
        <w:rPr>
          <w:rFonts w:ascii="Times New Roman" w:hAnsi="Times New Roman" w:cs="Times New Roman"/>
          <w:b/>
          <w:sz w:val="24"/>
        </w:rPr>
        <w:t>Abstract</w:t>
      </w:r>
    </w:p>
    <w:p w:rsidR="007E11E3" w:rsidRDefault="007E11E3" w:rsidP="007E11E3">
      <w:pPr>
        <w:jc w:val="both"/>
        <w:rPr>
          <w:rFonts w:ascii="Times New Roman" w:hAnsi="Times New Roman" w:cs="Times New Roman"/>
          <w:sz w:val="20"/>
        </w:rPr>
      </w:pPr>
      <w:r w:rsidRPr="007E11E3">
        <w:rPr>
          <w:rFonts w:ascii="Times New Roman" w:hAnsi="Times New Roman" w:cs="Times New Roman"/>
          <w:b/>
          <w:sz w:val="20"/>
        </w:rPr>
        <w:t>Purpose:</w:t>
      </w:r>
      <w:r w:rsidRPr="007E11E3">
        <w:rPr>
          <w:rFonts w:ascii="Times New Roman" w:hAnsi="Times New Roman" w:cs="Times New Roman"/>
          <w:sz w:val="20"/>
        </w:rPr>
        <w:t xml:space="preserve"> There is a lack of research on how palliative care affects wealthier individuals opposed to disadvantaged individuals. By analyzing the effects of palliative care on different classes of financially-resourced individuals, inequalities in current palliative care in addition to trends towards equality over the last several decades can be assessed.</w:t>
      </w:r>
      <w:r w:rsidR="00286978">
        <w:rPr>
          <w:rFonts w:ascii="Times New Roman" w:hAnsi="Times New Roman" w:cs="Times New Roman"/>
          <w:sz w:val="20"/>
        </w:rPr>
        <w:t xml:space="preserve"> </w:t>
      </w:r>
      <w:bookmarkStart w:id="0" w:name="_GoBack"/>
      <w:bookmarkEnd w:id="0"/>
    </w:p>
    <w:p w:rsidR="007E11E3" w:rsidRDefault="007E11E3" w:rsidP="007E11E3">
      <w:pPr>
        <w:jc w:val="both"/>
        <w:rPr>
          <w:rFonts w:ascii="Times New Roman" w:hAnsi="Times New Roman" w:cs="Times New Roman"/>
          <w:sz w:val="20"/>
        </w:rPr>
      </w:pPr>
      <w:r w:rsidRPr="007E11E3">
        <w:rPr>
          <w:rFonts w:ascii="Times New Roman" w:hAnsi="Times New Roman" w:cs="Times New Roman"/>
          <w:b/>
          <w:sz w:val="20"/>
        </w:rPr>
        <w:t>Methods:</w:t>
      </w:r>
      <w:r w:rsidRPr="007E11E3">
        <w:rPr>
          <w:rFonts w:ascii="Times New Roman" w:hAnsi="Times New Roman" w:cs="Times New Roman"/>
          <w:sz w:val="20"/>
        </w:rPr>
        <w:t xml:space="preserve"> Within the dataset, one’s neighborhood conditions were described continuously. We denote “Least Deprived” as the lowest three categories, “Somewhat Deprived” the middle four</w:t>
      </w:r>
      <w:r w:rsidR="00286978">
        <w:rPr>
          <w:rFonts w:ascii="Times New Roman" w:hAnsi="Times New Roman" w:cs="Times New Roman"/>
          <w:sz w:val="20"/>
        </w:rPr>
        <w:t xml:space="preserve"> and</w:t>
      </w:r>
      <w:r w:rsidRPr="007E11E3">
        <w:rPr>
          <w:rFonts w:ascii="Times New Roman" w:hAnsi="Times New Roman" w:cs="Times New Roman"/>
          <w:sz w:val="20"/>
        </w:rPr>
        <w:t xml:space="preserve"> “Highly Deprived” as the top three. Age-adjusted logistic regression was used to report the relationship between classification and death rates over time with Odds Ratios (ORs).</w:t>
      </w:r>
      <w:r w:rsidR="00286978">
        <w:rPr>
          <w:rFonts w:ascii="Times New Roman" w:hAnsi="Times New Roman" w:cs="Times New Roman"/>
          <w:sz w:val="20"/>
        </w:rPr>
        <w:t xml:space="preserve"> </w:t>
      </w:r>
    </w:p>
    <w:p w:rsidR="007E11E3" w:rsidRDefault="007E11E3" w:rsidP="007E11E3">
      <w:pPr>
        <w:jc w:val="both"/>
        <w:rPr>
          <w:rFonts w:ascii="Times New Roman" w:hAnsi="Times New Roman" w:cs="Times New Roman"/>
          <w:sz w:val="20"/>
        </w:rPr>
      </w:pPr>
      <w:r w:rsidRPr="007E11E3">
        <w:rPr>
          <w:rFonts w:ascii="Times New Roman" w:hAnsi="Times New Roman" w:cs="Times New Roman"/>
          <w:b/>
          <w:sz w:val="20"/>
        </w:rPr>
        <w:t>Results:</w:t>
      </w:r>
      <w:r w:rsidR="00286978">
        <w:rPr>
          <w:rFonts w:ascii="Times New Roman" w:hAnsi="Times New Roman" w:cs="Times New Roman"/>
          <w:sz w:val="20"/>
        </w:rPr>
        <w:t xml:space="preserve"> </w:t>
      </w:r>
      <w:r w:rsidRPr="007E11E3">
        <w:rPr>
          <w:rFonts w:ascii="Times New Roman" w:hAnsi="Times New Roman" w:cs="Times New Roman"/>
          <w:sz w:val="20"/>
        </w:rPr>
        <w:t>In 2012, a 1% increase in home death rates represented a 0.24x odds of being “Highly Deprived” and 0.65x odds of being “Somewhat Deprived” in comparison to “Least Deprived.” Respectively, these values increased to 1.05 and 1.15 in 2017, but then rapidly decreased to 0.11 and 0.41 in 2020 and 0.36 and 0.81 in 2021. Hospice death rate values decreased from 0.29 and 0.30 in 2013 to 0.05 and 0.11 in 2021. Care home death rate coefficients stayed relatively constant throughout until 2020 at 0.04 and 0.25-0.3, but reached an all-time low of 0.02 and 0.16 in 2021. Hospital death rate coefficients remained at 10.12-11.80 and 3.0-4.0 until 2019, but the “Highly Deprived” category reached odds of 15.77 and 18.64 in 2020 and 2021, while “Somewhat Deprived” stayed constant.</w:t>
      </w:r>
    </w:p>
    <w:p w:rsidR="007E11E3" w:rsidRDefault="007E11E3" w:rsidP="007E11E3">
      <w:pPr>
        <w:jc w:val="both"/>
        <w:rPr>
          <w:rFonts w:ascii="Times New Roman" w:hAnsi="Times New Roman" w:cs="Times New Roman"/>
          <w:sz w:val="20"/>
        </w:rPr>
      </w:pPr>
      <w:r w:rsidRPr="007E11E3">
        <w:rPr>
          <w:rFonts w:ascii="Times New Roman" w:hAnsi="Times New Roman" w:cs="Times New Roman"/>
          <w:b/>
          <w:sz w:val="20"/>
        </w:rPr>
        <w:t>Conclusion:</w:t>
      </w:r>
      <w:r>
        <w:rPr>
          <w:rFonts w:ascii="Times New Roman" w:hAnsi="Times New Roman" w:cs="Times New Roman"/>
          <w:sz w:val="20"/>
        </w:rPr>
        <w:t xml:space="preserve"> </w:t>
      </w:r>
      <w:r w:rsidRPr="007E11E3">
        <w:rPr>
          <w:rFonts w:ascii="Times New Roman" w:hAnsi="Times New Roman" w:cs="Times New Roman"/>
          <w:sz w:val="20"/>
        </w:rPr>
        <w:t>Across all categories, we see drastic changes in odds ratios, demonstrating the need for British refinement of palliative resources. Efforts should be made to increase the positive correlation of hospital deaths and highly deprived UK residents</w:t>
      </w:r>
      <w:r w:rsidR="00286978">
        <w:rPr>
          <w:rFonts w:ascii="Times New Roman" w:hAnsi="Times New Roman" w:cs="Times New Roman"/>
          <w:sz w:val="20"/>
        </w:rPr>
        <w:t xml:space="preserve"> and</w:t>
      </w:r>
      <w:r w:rsidRPr="007E11E3">
        <w:rPr>
          <w:rFonts w:ascii="Times New Roman" w:hAnsi="Times New Roman" w:cs="Times New Roman"/>
          <w:sz w:val="20"/>
        </w:rPr>
        <w:t xml:space="preserve"> the negative correlation of care home death rates.</w:t>
      </w:r>
    </w:p>
    <w:p w:rsidR="007E11E3" w:rsidRPr="007E11E3" w:rsidRDefault="007E11E3" w:rsidP="007E11E3">
      <w:pPr>
        <w:rPr>
          <w:rFonts w:ascii="Times New Roman" w:hAnsi="Times New Roman" w:cs="Times New Roman"/>
          <w:b/>
          <w:sz w:val="24"/>
        </w:rPr>
      </w:pPr>
      <w:r w:rsidRPr="007E11E3">
        <w:rPr>
          <w:rFonts w:ascii="Times New Roman" w:hAnsi="Times New Roman" w:cs="Times New Roman"/>
          <w:b/>
          <w:sz w:val="24"/>
        </w:rPr>
        <w:t>Biography</w:t>
      </w:r>
    </w:p>
    <w:p w:rsidR="007E11E3" w:rsidRPr="007E11E3" w:rsidRDefault="007E11E3" w:rsidP="007E11E3">
      <w:pPr>
        <w:jc w:val="both"/>
        <w:rPr>
          <w:rFonts w:ascii="Times New Roman" w:hAnsi="Times New Roman" w:cs="Times New Roman"/>
          <w:sz w:val="24"/>
        </w:rPr>
      </w:pPr>
      <w:proofErr w:type="spellStart"/>
      <w:r w:rsidRPr="007E11E3">
        <w:rPr>
          <w:rFonts w:ascii="Times New Roman" w:hAnsi="Times New Roman" w:cs="Times New Roman"/>
          <w:sz w:val="20"/>
        </w:rPr>
        <w:t>Tarun</w:t>
      </w:r>
      <w:proofErr w:type="spellEnd"/>
      <w:r w:rsidRPr="007E11E3">
        <w:rPr>
          <w:rFonts w:ascii="Times New Roman" w:hAnsi="Times New Roman" w:cs="Times New Roman"/>
          <w:sz w:val="20"/>
        </w:rPr>
        <w:t xml:space="preserve"> </w:t>
      </w:r>
      <w:proofErr w:type="spellStart"/>
      <w:r w:rsidRPr="007E11E3">
        <w:rPr>
          <w:rFonts w:ascii="Times New Roman" w:hAnsi="Times New Roman" w:cs="Times New Roman"/>
          <w:sz w:val="20"/>
        </w:rPr>
        <w:t>Martheswaran</w:t>
      </w:r>
      <w:proofErr w:type="spellEnd"/>
      <w:r w:rsidRPr="007E11E3">
        <w:rPr>
          <w:rFonts w:ascii="Times New Roman" w:hAnsi="Times New Roman" w:cs="Times New Roman"/>
          <w:sz w:val="20"/>
        </w:rPr>
        <w:t>, the leading author on this study has expertise in research relating to epidemiology and statistics. He is currently a student of Mathematics &amp; Computer Science at Stanford University, where he has developed skills in machine learning/artificial intelligence techniques. He is passionate about applying these techniques to evaluate health metrics, specifically in the context of socioeconomic disparities. His work here reflects a small piece of the puzzle to recognizing and intervening in health inequities before they become a larger issue.</w:t>
      </w:r>
    </w:p>
    <w:sectPr w:rsidR="007E11E3" w:rsidRPr="007E11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1E3"/>
    <w:rsid w:val="00286978"/>
    <w:rsid w:val="00474203"/>
    <w:rsid w:val="00535872"/>
    <w:rsid w:val="007E11E3"/>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2023-02-02T12:14:00Z</dcterms:created>
  <dcterms:modified xsi:type="dcterms:W3CDTF">2023-02-02T12:30:00Z</dcterms:modified>
</cp:coreProperties>
</file>