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E77F4">
      <w:pPr>
        <w:rPr>
          <w:rFonts w:ascii="Times New Roman" w:hAnsi="Times New Roman" w:cs="Times New Roman"/>
          <w:b/>
          <w:sz w:val="32"/>
        </w:rPr>
      </w:pPr>
      <w:bookmarkStart w:id="0" w:name="_GoBack"/>
      <w:r w:rsidRPr="003E77F4">
        <w:rPr>
          <w:rFonts w:ascii="Times New Roman" w:hAnsi="Times New Roman" w:cs="Times New Roman"/>
          <w:b/>
          <w:sz w:val="32"/>
        </w:rPr>
        <w:t>Utilization and compliance with iron supplementation and predictors among pregnant women in Southeast Ethiopia</w:t>
      </w:r>
    </w:p>
    <w:p w:rsidR="003E77F4" w:rsidRDefault="003E77F4">
      <w:pPr>
        <w:rPr>
          <w:rFonts w:ascii="Times New Roman" w:hAnsi="Times New Roman" w:cs="Times New Roman"/>
          <w:sz w:val="24"/>
        </w:rPr>
      </w:pPr>
      <w:proofErr w:type="spellStart"/>
      <w:r w:rsidRPr="003E77F4">
        <w:rPr>
          <w:rFonts w:ascii="Times New Roman" w:hAnsi="Times New Roman" w:cs="Times New Roman"/>
          <w:sz w:val="24"/>
        </w:rPr>
        <w:t>Girma</w:t>
      </w:r>
      <w:proofErr w:type="spellEnd"/>
      <w:r w:rsidRPr="003E77F4">
        <w:rPr>
          <w:rFonts w:ascii="Times New Roman" w:hAnsi="Times New Roman" w:cs="Times New Roman"/>
          <w:sz w:val="24"/>
        </w:rPr>
        <w:t xml:space="preserve"> Beressa</w:t>
      </w:r>
      <w:r w:rsidRPr="003E77F4">
        <w:rPr>
          <w:rFonts w:ascii="Times New Roman" w:hAnsi="Times New Roman" w:cs="Times New Roman"/>
          <w:sz w:val="24"/>
          <w:vertAlign w:val="superscript"/>
        </w:rPr>
        <w:t>1</w:t>
      </w:r>
      <w:r w:rsidRPr="003E77F4">
        <w:rPr>
          <w:rFonts w:ascii="Times New Roman" w:hAnsi="Times New Roman" w:cs="Times New Roman"/>
          <w:sz w:val="24"/>
        </w:rPr>
        <w:t xml:space="preserve">*, </w:t>
      </w:r>
      <w:proofErr w:type="spellStart"/>
      <w:r w:rsidRPr="003E77F4">
        <w:rPr>
          <w:rFonts w:ascii="Times New Roman" w:hAnsi="Times New Roman" w:cs="Times New Roman"/>
          <w:sz w:val="24"/>
        </w:rPr>
        <w:t>Bikila</w:t>
      </w:r>
      <w:proofErr w:type="spellEnd"/>
      <w:r w:rsidRPr="003E77F4">
        <w:rPr>
          <w:rFonts w:ascii="Times New Roman" w:hAnsi="Times New Roman" w:cs="Times New Roman"/>
          <w:sz w:val="24"/>
        </w:rPr>
        <w:t xml:space="preserve"> Lencha</w:t>
      </w:r>
      <w:r w:rsidRPr="003E77F4">
        <w:rPr>
          <w:rFonts w:ascii="Times New Roman" w:hAnsi="Times New Roman" w:cs="Times New Roman"/>
          <w:sz w:val="24"/>
          <w:vertAlign w:val="superscript"/>
        </w:rPr>
        <w:t>1</w:t>
      </w:r>
      <w:r w:rsidRPr="003E77F4">
        <w:rPr>
          <w:rFonts w:ascii="Times New Roman" w:hAnsi="Times New Roman" w:cs="Times New Roman"/>
          <w:sz w:val="24"/>
        </w:rPr>
        <w:t xml:space="preserve">, </w:t>
      </w:r>
      <w:proofErr w:type="spellStart"/>
      <w:r w:rsidRPr="003E77F4">
        <w:rPr>
          <w:rFonts w:ascii="Times New Roman" w:hAnsi="Times New Roman" w:cs="Times New Roman"/>
          <w:sz w:val="24"/>
        </w:rPr>
        <w:t>Tafese</w:t>
      </w:r>
      <w:proofErr w:type="spellEnd"/>
      <w:r w:rsidRPr="003E77F4">
        <w:rPr>
          <w:rFonts w:ascii="Times New Roman" w:hAnsi="Times New Roman" w:cs="Times New Roman"/>
          <w:sz w:val="24"/>
        </w:rPr>
        <w:t xml:space="preserve"> Bosha</w:t>
      </w:r>
      <w:r w:rsidRPr="003E77F4">
        <w:rPr>
          <w:rFonts w:ascii="Times New Roman" w:hAnsi="Times New Roman" w:cs="Times New Roman"/>
          <w:sz w:val="24"/>
          <w:vertAlign w:val="superscript"/>
        </w:rPr>
        <w:t>2</w:t>
      </w:r>
      <w:r>
        <w:rPr>
          <w:rFonts w:ascii="Times New Roman" w:hAnsi="Times New Roman" w:cs="Times New Roman"/>
          <w:sz w:val="24"/>
        </w:rPr>
        <w:t xml:space="preserve"> and</w:t>
      </w:r>
      <w:r w:rsidRPr="003E77F4">
        <w:rPr>
          <w:rFonts w:ascii="Times New Roman" w:hAnsi="Times New Roman" w:cs="Times New Roman"/>
          <w:sz w:val="24"/>
        </w:rPr>
        <w:t xml:space="preserve"> </w:t>
      </w:r>
      <w:proofErr w:type="spellStart"/>
      <w:r w:rsidRPr="003E77F4">
        <w:rPr>
          <w:rFonts w:ascii="Times New Roman" w:hAnsi="Times New Roman" w:cs="Times New Roman"/>
          <w:sz w:val="24"/>
        </w:rPr>
        <w:t>Gudina</w:t>
      </w:r>
      <w:proofErr w:type="spellEnd"/>
      <w:r w:rsidRPr="003E77F4">
        <w:rPr>
          <w:rFonts w:ascii="Times New Roman" w:hAnsi="Times New Roman" w:cs="Times New Roman"/>
          <w:sz w:val="24"/>
        </w:rPr>
        <w:t xml:space="preserve"> Egata</w:t>
      </w:r>
      <w:r w:rsidRPr="003E77F4">
        <w:rPr>
          <w:rFonts w:ascii="Times New Roman" w:hAnsi="Times New Roman" w:cs="Times New Roman"/>
          <w:sz w:val="24"/>
          <w:vertAlign w:val="superscript"/>
        </w:rPr>
        <w:t>3</w:t>
      </w:r>
    </w:p>
    <w:p w:rsidR="003E77F4" w:rsidRPr="003E77F4" w:rsidRDefault="003E77F4" w:rsidP="003E77F4">
      <w:pPr>
        <w:spacing w:after="0"/>
        <w:rPr>
          <w:rFonts w:ascii="Times New Roman" w:hAnsi="Times New Roman" w:cs="Times New Roman"/>
        </w:rPr>
      </w:pPr>
      <w:r w:rsidRPr="003E77F4">
        <w:rPr>
          <w:rFonts w:ascii="Times New Roman" w:hAnsi="Times New Roman" w:cs="Times New Roman"/>
          <w:vertAlign w:val="superscript"/>
        </w:rPr>
        <w:t>1</w:t>
      </w:r>
      <w:r w:rsidRPr="003E77F4">
        <w:rPr>
          <w:rFonts w:ascii="Times New Roman" w:hAnsi="Times New Roman" w:cs="Times New Roman"/>
        </w:rPr>
        <w:t xml:space="preserve">Madda </w:t>
      </w:r>
      <w:proofErr w:type="spellStart"/>
      <w:r w:rsidRPr="003E77F4">
        <w:rPr>
          <w:rFonts w:ascii="Times New Roman" w:hAnsi="Times New Roman" w:cs="Times New Roman"/>
        </w:rPr>
        <w:t>Walabu</w:t>
      </w:r>
      <w:proofErr w:type="spellEnd"/>
      <w:r w:rsidRPr="003E77F4">
        <w:rPr>
          <w:rFonts w:ascii="Times New Roman" w:hAnsi="Times New Roman" w:cs="Times New Roman"/>
        </w:rPr>
        <w:t xml:space="preserve"> University, Ethiopia</w:t>
      </w:r>
    </w:p>
    <w:p w:rsidR="003E77F4" w:rsidRPr="003E77F4" w:rsidRDefault="003E77F4" w:rsidP="003E77F4">
      <w:pPr>
        <w:spacing w:after="0"/>
        <w:rPr>
          <w:rFonts w:ascii="Times New Roman" w:hAnsi="Times New Roman" w:cs="Times New Roman"/>
        </w:rPr>
      </w:pPr>
      <w:r w:rsidRPr="003E77F4">
        <w:rPr>
          <w:rFonts w:ascii="Times New Roman" w:hAnsi="Times New Roman" w:cs="Times New Roman"/>
          <w:vertAlign w:val="superscript"/>
        </w:rPr>
        <w:t>2</w:t>
      </w:r>
      <w:r w:rsidRPr="003E77F4">
        <w:rPr>
          <w:rFonts w:ascii="Times New Roman" w:hAnsi="Times New Roman" w:cs="Times New Roman"/>
        </w:rPr>
        <w:t>Hawassa University, Ethiopia</w:t>
      </w:r>
    </w:p>
    <w:p w:rsidR="003E77F4" w:rsidRPr="003E77F4" w:rsidRDefault="003E77F4">
      <w:pPr>
        <w:rPr>
          <w:rFonts w:ascii="Times New Roman" w:hAnsi="Times New Roman" w:cs="Times New Roman"/>
        </w:rPr>
      </w:pPr>
      <w:r w:rsidRPr="003E77F4">
        <w:rPr>
          <w:rFonts w:ascii="Times New Roman" w:hAnsi="Times New Roman" w:cs="Times New Roman"/>
          <w:vertAlign w:val="superscript"/>
        </w:rPr>
        <w:t>3</w:t>
      </w:r>
      <w:r w:rsidRPr="003E77F4">
        <w:rPr>
          <w:rFonts w:ascii="Times New Roman" w:hAnsi="Times New Roman" w:cs="Times New Roman"/>
        </w:rPr>
        <w:t>Addis Ababa University, Ethiopia</w:t>
      </w:r>
    </w:p>
    <w:p w:rsidR="003E77F4" w:rsidRPr="003E77F4" w:rsidRDefault="003E77F4" w:rsidP="003E77F4">
      <w:pPr>
        <w:jc w:val="center"/>
        <w:rPr>
          <w:rFonts w:ascii="Times New Roman" w:hAnsi="Times New Roman" w:cs="Times New Roman"/>
          <w:b/>
          <w:sz w:val="24"/>
        </w:rPr>
      </w:pPr>
      <w:r w:rsidRPr="003E77F4">
        <w:rPr>
          <w:rFonts w:ascii="Times New Roman" w:hAnsi="Times New Roman" w:cs="Times New Roman"/>
          <w:b/>
          <w:sz w:val="24"/>
        </w:rPr>
        <w:t>Abstract</w:t>
      </w:r>
    </w:p>
    <w:p w:rsidR="003E77F4" w:rsidRDefault="003E77F4" w:rsidP="003E77F4">
      <w:pPr>
        <w:jc w:val="both"/>
        <w:rPr>
          <w:rFonts w:ascii="Times New Roman" w:hAnsi="Times New Roman" w:cs="Times New Roman"/>
          <w:sz w:val="20"/>
        </w:rPr>
      </w:pPr>
      <w:r w:rsidRPr="003E77F4">
        <w:rPr>
          <w:rFonts w:ascii="Times New Roman" w:hAnsi="Times New Roman" w:cs="Times New Roman"/>
          <w:sz w:val="20"/>
        </w:rPr>
        <w:t xml:space="preserve">Anemia is predicted to affect 38% of pregnant women worldwide. However, evidence for utilization and compliance with iron supplementation and predictors during pregnancy in Ethiopia, is inconclusive. Therefore, we aimed to assess utilization and compliance with iron supplementation and predictors among pregnant women in Robe Town, Southeast Ethiopia. A community-based cross-sectional study was employed among randomly selected 445 pregnant women attending antenatal care. Systematic random sampling was used. Data were collected using a pre-tested, interviewer-administered, structured questionnaire. </w:t>
      </w:r>
      <w:proofErr w:type="spellStart"/>
      <w:r w:rsidRPr="003E77F4">
        <w:rPr>
          <w:rFonts w:ascii="Times New Roman" w:hAnsi="Times New Roman" w:cs="Times New Roman"/>
          <w:sz w:val="20"/>
        </w:rPr>
        <w:t>Bivariable</w:t>
      </w:r>
      <w:proofErr w:type="spellEnd"/>
      <w:r w:rsidRPr="003E77F4">
        <w:rPr>
          <w:rFonts w:ascii="Times New Roman" w:hAnsi="Times New Roman" w:cs="Times New Roman"/>
          <w:sz w:val="20"/>
        </w:rPr>
        <w:t xml:space="preserve"> and multivariable logistic regression analyses were used. In this study, 54% (95% CI: (</w:t>
      </w:r>
      <w:r w:rsidR="00111905">
        <w:rPr>
          <w:rFonts w:ascii="Times New Roman" w:hAnsi="Times New Roman" w:cs="Times New Roman"/>
          <w:sz w:val="20"/>
        </w:rPr>
        <w:t>49.4</w:t>
      </w:r>
      <w:proofErr w:type="gramStart"/>
      <w:r w:rsidR="00111905">
        <w:rPr>
          <w:rFonts w:ascii="Times New Roman" w:hAnsi="Times New Roman" w:cs="Times New Roman"/>
          <w:sz w:val="20"/>
        </w:rPr>
        <w:t>,</w:t>
      </w:r>
      <w:r w:rsidRPr="003E77F4">
        <w:rPr>
          <w:rFonts w:ascii="Times New Roman" w:hAnsi="Times New Roman" w:cs="Times New Roman"/>
          <w:sz w:val="20"/>
        </w:rPr>
        <w:t>58.4</w:t>
      </w:r>
      <w:proofErr w:type="gramEnd"/>
      <w:r w:rsidRPr="003E77F4">
        <w:rPr>
          <w:rFonts w:ascii="Times New Roman" w:hAnsi="Times New Roman" w:cs="Times New Roman"/>
          <w:sz w:val="20"/>
        </w:rPr>
        <w:t>%)</w:t>
      </w:r>
      <w:r>
        <w:rPr>
          <w:rFonts w:ascii="Times New Roman" w:hAnsi="Times New Roman" w:cs="Times New Roman"/>
          <w:sz w:val="20"/>
        </w:rPr>
        <w:t>)</w:t>
      </w:r>
      <w:r w:rsidR="00111905">
        <w:rPr>
          <w:rFonts w:ascii="Times New Roman" w:hAnsi="Times New Roman" w:cs="Times New Roman"/>
          <w:sz w:val="20"/>
        </w:rPr>
        <w:t>, 45.2% (95% CI: (40.9,</w:t>
      </w:r>
      <w:r w:rsidRPr="003E77F4">
        <w:rPr>
          <w:rFonts w:ascii="Times New Roman" w:hAnsi="Times New Roman" w:cs="Times New Roman"/>
          <w:sz w:val="20"/>
        </w:rPr>
        <w:t>49.4%)</w:t>
      </w:r>
      <w:r>
        <w:rPr>
          <w:rFonts w:ascii="Times New Roman" w:hAnsi="Times New Roman" w:cs="Times New Roman"/>
          <w:sz w:val="20"/>
        </w:rPr>
        <w:t>)</w:t>
      </w:r>
      <w:r w:rsidR="00111905">
        <w:rPr>
          <w:rFonts w:ascii="Times New Roman" w:hAnsi="Times New Roman" w:cs="Times New Roman"/>
          <w:sz w:val="20"/>
        </w:rPr>
        <w:t>, 4.3% (95% CI: (2.5,</w:t>
      </w:r>
      <w:r w:rsidRPr="003E77F4">
        <w:rPr>
          <w:rFonts w:ascii="Times New Roman" w:hAnsi="Times New Roman" w:cs="Times New Roman"/>
          <w:sz w:val="20"/>
        </w:rPr>
        <w:t>6.3%)</w:t>
      </w:r>
      <w:r>
        <w:rPr>
          <w:rFonts w:ascii="Times New Roman" w:hAnsi="Times New Roman" w:cs="Times New Roman"/>
          <w:sz w:val="20"/>
        </w:rPr>
        <w:t>)</w:t>
      </w:r>
      <w:r w:rsidR="00111905">
        <w:rPr>
          <w:rFonts w:ascii="Times New Roman" w:hAnsi="Times New Roman" w:cs="Times New Roman"/>
          <w:sz w:val="20"/>
        </w:rPr>
        <w:t xml:space="preserve"> and 2.2% (95% CI: (1.1,</w:t>
      </w:r>
      <w:r w:rsidRPr="003E77F4">
        <w:rPr>
          <w:rFonts w:ascii="Times New Roman" w:hAnsi="Times New Roman" w:cs="Times New Roman"/>
          <w:sz w:val="20"/>
        </w:rPr>
        <w:t>3.6%)</w:t>
      </w:r>
      <w:r>
        <w:rPr>
          <w:rFonts w:ascii="Times New Roman" w:hAnsi="Times New Roman" w:cs="Times New Roman"/>
          <w:sz w:val="20"/>
        </w:rPr>
        <w:t>)</w:t>
      </w:r>
      <w:r w:rsidRPr="003E77F4">
        <w:rPr>
          <w:rFonts w:ascii="Times New Roman" w:hAnsi="Times New Roman" w:cs="Times New Roman"/>
          <w:sz w:val="20"/>
        </w:rPr>
        <w:t xml:space="preserve"> of women received iron supplements du</w:t>
      </w:r>
      <w:r>
        <w:rPr>
          <w:rFonts w:ascii="Times New Roman" w:hAnsi="Times New Roman" w:cs="Times New Roman"/>
          <w:sz w:val="20"/>
        </w:rPr>
        <w:t>ring their first, second, third</w:t>
      </w:r>
      <w:r w:rsidRPr="003E77F4">
        <w:rPr>
          <w:rFonts w:ascii="Times New Roman" w:hAnsi="Times New Roman" w:cs="Times New Roman"/>
          <w:sz w:val="20"/>
        </w:rPr>
        <w:t xml:space="preserve"> and fourth antenatal care visits, respectively. The compliance with iron supplement</w:t>
      </w:r>
      <w:r w:rsidR="00111905">
        <w:rPr>
          <w:rFonts w:ascii="Times New Roman" w:hAnsi="Times New Roman" w:cs="Times New Roman"/>
          <w:sz w:val="20"/>
        </w:rPr>
        <w:t>ation was 92.4% (95% CI: (89.9</w:t>
      </w:r>
      <w:proofErr w:type="gramStart"/>
      <w:r w:rsidR="00111905">
        <w:rPr>
          <w:rFonts w:ascii="Times New Roman" w:hAnsi="Times New Roman" w:cs="Times New Roman"/>
          <w:sz w:val="20"/>
        </w:rPr>
        <w:t>,</w:t>
      </w:r>
      <w:r w:rsidRPr="003E77F4">
        <w:rPr>
          <w:rFonts w:ascii="Times New Roman" w:hAnsi="Times New Roman" w:cs="Times New Roman"/>
          <w:sz w:val="20"/>
        </w:rPr>
        <w:t>94.6</w:t>
      </w:r>
      <w:proofErr w:type="gramEnd"/>
      <w:r w:rsidRPr="003E77F4">
        <w:rPr>
          <w:rFonts w:ascii="Times New Roman" w:hAnsi="Times New Roman" w:cs="Times New Roman"/>
          <w:sz w:val="20"/>
        </w:rPr>
        <w:t>%)</w:t>
      </w:r>
      <w:r>
        <w:rPr>
          <w:rFonts w:ascii="Times New Roman" w:hAnsi="Times New Roman" w:cs="Times New Roman"/>
          <w:sz w:val="20"/>
        </w:rPr>
        <w:t>)</w:t>
      </w:r>
      <w:r w:rsidRPr="003E77F4">
        <w:rPr>
          <w:rFonts w:ascii="Times New Roman" w:hAnsi="Times New Roman" w:cs="Times New Roman"/>
          <w:sz w:val="20"/>
        </w:rPr>
        <w:t>. Having a formal education</w:t>
      </w:r>
      <w:r w:rsidR="00111905">
        <w:rPr>
          <w:rFonts w:ascii="Times New Roman" w:hAnsi="Times New Roman" w:cs="Times New Roman"/>
          <w:sz w:val="20"/>
        </w:rPr>
        <w:t xml:space="preserve"> </w:t>
      </w:r>
      <w:r w:rsidRPr="003E77F4">
        <w:rPr>
          <w:rFonts w:ascii="Times New Roman" w:hAnsi="Times New Roman" w:cs="Times New Roman"/>
          <w:sz w:val="20"/>
        </w:rPr>
        <w:t>(</w:t>
      </w:r>
      <w:r>
        <w:rPr>
          <w:rFonts w:ascii="Times New Roman" w:hAnsi="Times New Roman" w:cs="Times New Roman"/>
          <w:sz w:val="20"/>
        </w:rPr>
        <w:t>AOR=4.45, 95% CI: 1.41,</w:t>
      </w:r>
      <w:r w:rsidRPr="003E77F4">
        <w:rPr>
          <w:rFonts w:ascii="Times New Roman" w:hAnsi="Times New Roman" w:cs="Times New Roman"/>
          <w:sz w:val="20"/>
        </w:rPr>
        <w:t>13.99), being i</w:t>
      </w:r>
      <w:r>
        <w:rPr>
          <w:rFonts w:ascii="Times New Roman" w:hAnsi="Times New Roman" w:cs="Times New Roman"/>
          <w:sz w:val="20"/>
        </w:rPr>
        <w:t>n the high wealth quintile (AOR=0.18, 95% CI: 0.05,</w:t>
      </w:r>
      <w:r w:rsidRPr="003E77F4">
        <w:rPr>
          <w:rFonts w:ascii="Times New Roman" w:hAnsi="Times New Roman" w:cs="Times New Roman"/>
          <w:sz w:val="20"/>
        </w:rPr>
        <w:t>0.68), receiving iron supplements fo</w:t>
      </w:r>
      <w:r>
        <w:rPr>
          <w:rFonts w:ascii="Times New Roman" w:hAnsi="Times New Roman" w:cs="Times New Roman"/>
          <w:sz w:val="20"/>
        </w:rPr>
        <w:t>r free (AOR=3.77, 95% CI: 1.33,</w:t>
      </w:r>
      <w:r w:rsidRPr="003E77F4">
        <w:rPr>
          <w:rFonts w:ascii="Times New Roman" w:hAnsi="Times New Roman" w:cs="Times New Roman"/>
          <w:sz w:val="20"/>
        </w:rPr>
        <w:t xml:space="preserve">10.69), not experiencing discomfort related </w:t>
      </w:r>
      <w:r w:rsidR="00111905">
        <w:rPr>
          <w:rFonts w:ascii="Times New Roman" w:hAnsi="Times New Roman" w:cs="Times New Roman"/>
          <w:sz w:val="20"/>
        </w:rPr>
        <w:t>to iron supplements intake (AOR=</w:t>
      </w:r>
      <w:r w:rsidRPr="003E77F4">
        <w:rPr>
          <w:rFonts w:ascii="Times New Roman" w:hAnsi="Times New Roman" w:cs="Times New Roman"/>
          <w:sz w:val="20"/>
        </w:rPr>
        <w:t>2.94, 95% CI: 1</w:t>
      </w:r>
      <w:r w:rsidR="00111905">
        <w:rPr>
          <w:rFonts w:ascii="Times New Roman" w:hAnsi="Times New Roman" w:cs="Times New Roman"/>
          <w:sz w:val="20"/>
        </w:rPr>
        <w:t>.17,</w:t>
      </w:r>
      <w:r w:rsidRPr="003E77F4">
        <w:rPr>
          <w:rFonts w:ascii="Times New Roman" w:hAnsi="Times New Roman" w:cs="Times New Roman"/>
          <w:sz w:val="20"/>
        </w:rPr>
        <w:t xml:space="preserve">7.39), having comprehensive knowledge about </w:t>
      </w:r>
      <w:r w:rsidR="00111905">
        <w:rPr>
          <w:rFonts w:ascii="Times New Roman" w:hAnsi="Times New Roman" w:cs="Times New Roman"/>
          <w:sz w:val="20"/>
        </w:rPr>
        <w:t>anemia (AOR=2.62, 95% CI: 1.02,</w:t>
      </w:r>
      <w:r w:rsidRPr="003E77F4">
        <w:rPr>
          <w:rFonts w:ascii="Times New Roman" w:hAnsi="Times New Roman" w:cs="Times New Roman"/>
          <w:sz w:val="20"/>
        </w:rPr>
        <w:t>6.70), being knowledgeable about iron suppl</w:t>
      </w:r>
      <w:r w:rsidR="00111905">
        <w:rPr>
          <w:rFonts w:ascii="Times New Roman" w:hAnsi="Times New Roman" w:cs="Times New Roman"/>
          <w:sz w:val="20"/>
        </w:rPr>
        <w:t>ements (AOR=3.30, 95% CI: 1.12,</w:t>
      </w:r>
      <w:r w:rsidRPr="003E77F4">
        <w:rPr>
          <w:rFonts w:ascii="Times New Roman" w:hAnsi="Times New Roman" w:cs="Times New Roman"/>
          <w:sz w:val="20"/>
        </w:rPr>
        <w:t>9.76), having information about importance of iron supplementation during pregnancy (AOR=2.86; 95% C</w:t>
      </w:r>
      <w:r w:rsidR="00111905">
        <w:rPr>
          <w:rFonts w:ascii="Times New Roman" w:hAnsi="Times New Roman" w:cs="Times New Roman"/>
          <w:sz w:val="20"/>
        </w:rPr>
        <w:t>I: 1.04,</w:t>
      </w:r>
      <w:r w:rsidRPr="003E77F4">
        <w:rPr>
          <w:rFonts w:ascii="Times New Roman" w:hAnsi="Times New Roman" w:cs="Times New Roman"/>
          <w:sz w:val="20"/>
        </w:rPr>
        <w:t>7.87) and</w:t>
      </w:r>
      <w:r w:rsidR="00111905">
        <w:rPr>
          <w:rFonts w:ascii="Times New Roman" w:hAnsi="Times New Roman" w:cs="Times New Roman"/>
          <w:sz w:val="20"/>
        </w:rPr>
        <w:t xml:space="preserve"> </w:t>
      </w:r>
      <w:r w:rsidRPr="003E77F4">
        <w:rPr>
          <w:rFonts w:ascii="Times New Roman" w:hAnsi="Times New Roman" w:cs="Times New Roman"/>
          <w:sz w:val="20"/>
        </w:rPr>
        <w:t>ever being</w:t>
      </w:r>
      <w:r w:rsidR="00111905">
        <w:rPr>
          <w:rFonts w:ascii="Times New Roman" w:hAnsi="Times New Roman" w:cs="Times New Roman"/>
          <w:sz w:val="20"/>
        </w:rPr>
        <w:t xml:space="preserve"> </w:t>
      </w:r>
      <w:r w:rsidRPr="003E77F4">
        <w:rPr>
          <w:rFonts w:ascii="Times New Roman" w:hAnsi="Times New Roman" w:cs="Times New Roman"/>
          <w:sz w:val="20"/>
        </w:rPr>
        <w:t>visited by urban health extension w</w:t>
      </w:r>
      <w:r w:rsidR="00111905">
        <w:rPr>
          <w:rFonts w:ascii="Times New Roman" w:hAnsi="Times New Roman" w:cs="Times New Roman"/>
          <w:sz w:val="20"/>
        </w:rPr>
        <w:t>orkers (AOR=0.31; 95% CI: 0.12,</w:t>
      </w:r>
      <w:r w:rsidRPr="003E77F4">
        <w:rPr>
          <w:rFonts w:ascii="Times New Roman" w:hAnsi="Times New Roman" w:cs="Times New Roman"/>
          <w:sz w:val="20"/>
        </w:rPr>
        <w:t>0.83) was significantly associated with compliance with iron supplementation during pregnancy. The utilization of iron supplementation during pregnancy was low, with relatively high compliance with the supplements. Thus, comprehensive nutrition education and free provision of iron supplementation are crucial tools to increase utilization and compliance with iron supplementation during pregnancy. Further research with a strong study design using golden standard methods is warranted.</w:t>
      </w:r>
    </w:p>
    <w:p w:rsidR="00111905" w:rsidRPr="00111905" w:rsidRDefault="00111905" w:rsidP="00111905">
      <w:pPr>
        <w:rPr>
          <w:rFonts w:ascii="Times New Roman" w:hAnsi="Times New Roman" w:cs="Times New Roman"/>
          <w:b/>
          <w:sz w:val="24"/>
        </w:rPr>
      </w:pPr>
      <w:r w:rsidRPr="00111905">
        <w:rPr>
          <w:rFonts w:ascii="Times New Roman" w:hAnsi="Times New Roman" w:cs="Times New Roman"/>
          <w:b/>
          <w:sz w:val="24"/>
        </w:rPr>
        <w:t>Biography</w:t>
      </w:r>
    </w:p>
    <w:p w:rsidR="00111905" w:rsidRPr="003E77F4" w:rsidRDefault="00111905" w:rsidP="00111905">
      <w:pPr>
        <w:jc w:val="both"/>
        <w:rPr>
          <w:rFonts w:ascii="Times New Roman" w:hAnsi="Times New Roman" w:cs="Times New Roman"/>
          <w:sz w:val="20"/>
        </w:rPr>
      </w:pPr>
      <w:proofErr w:type="spellStart"/>
      <w:r w:rsidRPr="00111905">
        <w:rPr>
          <w:rFonts w:ascii="Times New Roman" w:hAnsi="Times New Roman" w:cs="Times New Roman"/>
          <w:sz w:val="20"/>
        </w:rPr>
        <w:t>Girma</w:t>
      </w:r>
      <w:proofErr w:type="spellEnd"/>
      <w:r w:rsidRPr="00111905">
        <w:rPr>
          <w:rFonts w:ascii="Times New Roman" w:hAnsi="Times New Roman" w:cs="Times New Roman"/>
          <w:sz w:val="20"/>
        </w:rPr>
        <w:t xml:space="preserve"> </w:t>
      </w:r>
      <w:proofErr w:type="spellStart"/>
      <w:r w:rsidRPr="00111905">
        <w:rPr>
          <w:rFonts w:ascii="Times New Roman" w:hAnsi="Times New Roman" w:cs="Times New Roman"/>
          <w:sz w:val="20"/>
        </w:rPr>
        <w:t>Beressa</w:t>
      </w:r>
      <w:proofErr w:type="spellEnd"/>
      <w:r w:rsidRPr="00111905">
        <w:rPr>
          <w:rFonts w:ascii="Times New Roman" w:hAnsi="Times New Roman" w:cs="Times New Roman"/>
          <w:sz w:val="20"/>
        </w:rPr>
        <w:t xml:space="preserve"> undertakes research in nutriti</w:t>
      </w:r>
      <w:r>
        <w:rPr>
          <w:rFonts w:ascii="Times New Roman" w:hAnsi="Times New Roman" w:cs="Times New Roman"/>
          <w:sz w:val="20"/>
        </w:rPr>
        <w:t>on, epidemiology, public health</w:t>
      </w:r>
      <w:r w:rsidRPr="00111905">
        <w:rPr>
          <w:rFonts w:ascii="Times New Roman" w:hAnsi="Times New Roman" w:cs="Times New Roman"/>
          <w:sz w:val="20"/>
        </w:rPr>
        <w:t xml:space="preserve"> and medicine.</w:t>
      </w:r>
      <w:r>
        <w:rPr>
          <w:rFonts w:ascii="Times New Roman" w:hAnsi="Times New Roman" w:cs="Times New Roman"/>
          <w:sz w:val="20"/>
        </w:rPr>
        <w:t xml:space="preserve"> </w:t>
      </w:r>
      <w:r w:rsidRPr="00111905">
        <w:rPr>
          <w:rFonts w:ascii="Times New Roman" w:hAnsi="Times New Roman" w:cs="Times New Roman"/>
          <w:sz w:val="20"/>
        </w:rPr>
        <w:t xml:space="preserve">He has published more than 13 articles in peer-reviewed international reputable journals. His leading research focuses on maternal and child nutrition. He employs health behavior models and theories in his work. He also has vast expertise in providing evidence </w:t>
      </w:r>
      <w:r w:rsidRPr="00111905">
        <w:rPr>
          <w:rFonts w:ascii="Times New Roman" w:hAnsi="Times New Roman" w:cs="Times New Roman"/>
          <w:i/>
          <w:sz w:val="20"/>
        </w:rPr>
        <w:t>via</w:t>
      </w:r>
      <w:r w:rsidRPr="00111905">
        <w:rPr>
          <w:rFonts w:ascii="Times New Roman" w:hAnsi="Times New Roman" w:cs="Times New Roman"/>
          <w:sz w:val="20"/>
        </w:rPr>
        <w:t xml:space="preserve"> systematic JBI and Cochrane reviews. Nevertheless, he is most interested in what happens to research findings after they are generated, such as information diss</w:t>
      </w:r>
      <w:r>
        <w:rPr>
          <w:rFonts w:ascii="Times New Roman" w:hAnsi="Times New Roman" w:cs="Times New Roman"/>
          <w:sz w:val="20"/>
        </w:rPr>
        <w:t>emination into policy, practice</w:t>
      </w:r>
      <w:r w:rsidRPr="00111905">
        <w:rPr>
          <w:rFonts w:ascii="Times New Roman" w:hAnsi="Times New Roman" w:cs="Times New Roman"/>
          <w:sz w:val="20"/>
        </w:rPr>
        <w:t xml:space="preserve"> and the general community.</w:t>
      </w:r>
      <w:bookmarkEnd w:id="0"/>
    </w:p>
    <w:sectPr w:rsidR="00111905" w:rsidRPr="003E77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7F4"/>
    <w:rsid w:val="00111905"/>
    <w:rsid w:val="003E77F4"/>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2022-12-19T12:56:00Z</dcterms:created>
  <dcterms:modified xsi:type="dcterms:W3CDTF">2022-12-19T13:10:00Z</dcterms:modified>
</cp:coreProperties>
</file>