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A3F" w:rsidRPr="00797A3F" w:rsidRDefault="00797A3F" w:rsidP="00797A3F">
      <w:pPr>
        <w:rPr>
          <w:rFonts w:ascii="Times New Roman" w:hAnsi="Times New Roman" w:cs="Times New Roman"/>
          <w:b/>
          <w:sz w:val="32"/>
        </w:rPr>
      </w:pPr>
      <w:r w:rsidRPr="00797A3F">
        <w:rPr>
          <w:rFonts w:ascii="Times New Roman" w:hAnsi="Times New Roman" w:cs="Times New Roman"/>
          <w:b/>
          <w:sz w:val="32"/>
        </w:rPr>
        <w:t xml:space="preserve">Investigate the </w:t>
      </w:r>
      <w:r w:rsidRPr="00797A3F">
        <w:rPr>
          <w:rFonts w:ascii="Times New Roman" w:hAnsi="Times New Roman" w:cs="Times New Roman"/>
          <w:b/>
          <w:sz w:val="32"/>
        </w:rPr>
        <w:t xml:space="preserve">role </w:t>
      </w:r>
      <w:r w:rsidRPr="00797A3F">
        <w:rPr>
          <w:rFonts w:ascii="Times New Roman" w:hAnsi="Times New Roman" w:cs="Times New Roman"/>
          <w:b/>
          <w:sz w:val="32"/>
        </w:rPr>
        <w:t xml:space="preserve">of </w:t>
      </w:r>
      <w:proofErr w:type="spellStart"/>
      <w:r w:rsidRPr="00797A3F">
        <w:rPr>
          <w:rFonts w:ascii="Times New Roman" w:hAnsi="Times New Roman" w:cs="Times New Roman"/>
          <w:b/>
          <w:sz w:val="32"/>
        </w:rPr>
        <w:t>Thioredoxin</w:t>
      </w:r>
      <w:proofErr w:type="spellEnd"/>
      <w:r w:rsidRPr="00797A3F">
        <w:rPr>
          <w:rFonts w:ascii="Times New Roman" w:hAnsi="Times New Roman" w:cs="Times New Roman"/>
          <w:b/>
          <w:sz w:val="32"/>
        </w:rPr>
        <w:t xml:space="preserve"> </w:t>
      </w:r>
      <w:r w:rsidRPr="00797A3F">
        <w:rPr>
          <w:rFonts w:ascii="Times New Roman" w:hAnsi="Times New Roman" w:cs="Times New Roman"/>
          <w:b/>
          <w:sz w:val="32"/>
        </w:rPr>
        <w:t>domain</w:t>
      </w:r>
      <w:r w:rsidRPr="00797A3F">
        <w:rPr>
          <w:rFonts w:ascii="Times New Roman" w:hAnsi="Times New Roman" w:cs="Times New Roman"/>
          <w:b/>
          <w:sz w:val="32"/>
        </w:rPr>
        <w:t>-</w:t>
      </w:r>
      <w:r w:rsidRPr="00797A3F">
        <w:rPr>
          <w:rFonts w:ascii="Times New Roman" w:hAnsi="Times New Roman" w:cs="Times New Roman"/>
          <w:b/>
          <w:sz w:val="32"/>
        </w:rPr>
        <w:t xml:space="preserve">containing protein </w:t>
      </w:r>
      <w:r w:rsidRPr="00797A3F">
        <w:rPr>
          <w:rFonts w:ascii="Times New Roman" w:hAnsi="Times New Roman" w:cs="Times New Roman"/>
          <w:b/>
          <w:sz w:val="32"/>
        </w:rPr>
        <w:t xml:space="preserve">5 (TXNDC5) in </w:t>
      </w:r>
      <w:r w:rsidRPr="00797A3F">
        <w:rPr>
          <w:rFonts w:ascii="Times New Roman" w:hAnsi="Times New Roman" w:cs="Times New Roman"/>
          <w:b/>
          <w:sz w:val="32"/>
        </w:rPr>
        <w:t>peritoneal dialysis</w:t>
      </w:r>
      <w:r w:rsidRPr="00797A3F">
        <w:rPr>
          <w:rFonts w:ascii="Times New Roman" w:hAnsi="Times New Roman" w:cs="Times New Roman"/>
          <w:b/>
          <w:sz w:val="32"/>
        </w:rPr>
        <w:t xml:space="preserve">-induced </w:t>
      </w:r>
      <w:r w:rsidRPr="00797A3F">
        <w:rPr>
          <w:rFonts w:ascii="Times New Roman" w:hAnsi="Times New Roman" w:cs="Times New Roman"/>
          <w:b/>
          <w:sz w:val="32"/>
        </w:rPr>
        <w:t>peritoneal fibrosis</w:t>
      </w:r>
    </w:p>
    <w:p w:rsidR="00797A3F" w:rsidRPr="00797A3F" w:rsidRDefault="00797A3F" w:rsidP="00797A3F">
      <w:pPr>
        <w:rPr>
          <w:rFonts w:ascii="Times New Roman" w:hAnsi="Times New Roman" w:cs="Times New Roman"/>
          <w:sz w:val="24"/>
        </w:rPr>
      </w:pPr>
      <w:r w:rsidRPr="00797A3F">
        <w:rPr>
          <w:rFonts w:ascii="Times New Roman" w:hAnsi="Times New Roman" w:cs="Times New Roman"/>
          <w:sz w:val="24"/>
        </w:rPr>
        <w:t xml:space="preserve">Chun-Jung </w:t>
      </w:r>
      <w:proofErr w:type="spellStart"/>
      <w:r w:rsidRPr="00797A3F">
        <w:rPr>
          <w:rFonts w:ascii="Times New Roman" w:hAnsi="Times New Roman" w:cs="Times New Roman"/>
          <w:sz w:val="24"/>
        </w:rPr>
        <w:t>Chien</w:t>
      </w:r>
      <w:proofErr w:type="spellEnd"/>
      <w:r w:rsidRPr="00797A3F">
        <w:rPr>
          <w:rFonts w:ascii="Times New Roman" w:hAnsi="Times New Roman" w:cs="Times New Roman"/>
          <w:sz w:val="24"/>
        </w:rPr>
        <w:t>*</w:t>
      </w:r>
      <w:r w:rsidRPr="00797A3F">
        <w:rPr>
          <w:rFonts w:ascii="Times New Roman" w:hAnsi="Times New Roman" w:cs="Times New Roman"/>
          <w:sz w:val="24"/>
        </w:rPr>
        <w:t>, Kai-</w:t>
      </w:r>
      <w:proofErr w:type="spellStart"/>
      <w:r w:rsidRPr="00797A3F">
        <w:rPr>
          <w:rFonts w:ascii="Times New Roman" w:hAnsi="Times New Roman" w:cs="Times New Roman"/>
          <w:sz w:val="24"/>
        </w:rPr>
        <w:t>Chien</w:t>
      </w:r>
      <w:proofErr w:type="spellEnd"/>
      <w:r w:rsidRPr="00797A3F">
        <w:rPr>
          <w:rFonts w:ascii="Times New Roman" w:hAnsi="Times New Roman" w:cs="Times New Roman"/>
          <w:sz w:val="24"/>
        </w:rPr>
        <w:t xml:space="preserve"> Yang</w:t>
      </w:r>
      <w:r w:rsidRPr="00797A3F">
        <w:rPr>
          <w:rFonts w:ascii="Times New Roman" w:hAnsi="Times New Roman" w:cs="Times New Roman"/>
          <w:sz w:val="24"/>
        </w:rPr>
        <w:t xml:space="preserve"> and </w:t>
      </w:r>
      <w:r w:rsidRPr="00797A3F">
        <w:rPr>
          <w:rFonts w:ascii="Times New Roman" w:hAnsi="Times New Roman" w:cs="Times New Roman"/>
          <w:sz w:val="24"/>
        </w:rPr>
        <w:t>Pei-</w:t>
      </w:r>
      <w:proofErr w:type="spellStart"/>
      <w:r w:rsidRPr="00797A3F">
        <w:rPr>
          <w:rFonts w:ascii="Times New Roman" w:hAnsi="Times New Roman" w:cs="Times New Roman"/>
          <w:sz w:val="24"/>
        </w:rPr>
        <w:t>Shiue</w:t>
      </w:r>
      <w:proofErr w:type="spellEnd"/>
      <w:r w:rsidRPr="00797A3F">
        <w:rPr>
          <w:rFonts w:ascii="Times New Roman" w:hAnsi="Times New Roman" w:cs="Times New Roman"/>
          <w:sz w:val="24"/>
        </w:rPr>
        <w:t xml:space="preserve"> Jason Tsai</w:t>
      </w:r>
    </w:p>
    <w:p w:rsidR="00797A3F" w:rsidRPr="00797A3F" w:rsidRDefault="00797A3F" w:rsidP="00797A3F">
      <w:pPr>
        <w:rPr>
          <w:rFonts w:ascii="Times New Roman" w:hAnsi="Times New Roman" w:cs="Times New Roman"/>
        </w:rPr>
      </w:pPr>
      <w:r w:rsidRPr="00797A3F">
        <w:rPr>
          <w:rFonts w:ascii="Times New Roman" w:hAnsi="Times New Roman" w:cs="Times New Roman"/>
        </w:rPr>
        <w:t>National Taiwan University, Taiwan</w:t>
      </w:r>
    </w:p>
    <w:p w:rsidR="00797A3F" w:rsidRPr="00797A3F" w:rsidRDefault="00797A3F" w:rsidP="00797A3F">
      <w:pPr>
        <w:jc w:val="center"/>
        <w:rPr>
          <w:rFonts w:ascii="Times New Roman" w:hAnsi="Times New Roman" w:cs="Times New Roman"/>
          <w:b/>
          <w:sz w:val="24"/>
        </w:rPr>
      </w:pPr>
      <w:r w:rsidRPr="00797A3F">
        <w:rPr>
          <w:rFonts w:ascii="Times New Roman" w:hAnsi="Times New Roman" w:cs="Times New Roman"/>
          <w:b/>
          <w:sz w:val="24"/>
        </w:rPr>
        <w:t>Abstract</w:t>
      </w:r>
    </w:p>
    <w:p w:rsidR="00797A3F" w:rsidRPr="00797A3F" w:rsidRDefault="00797A3F" w:rsidP="00797A3F">
      <w:pPr>
        <w:jc w:val="both"/>
        <w:rPr>
          <w:rFonts w:ascii="Times New Roman" w:hAnsi="Times New Roman" w:cs="Times New Roman"/>
          <w:sz w:val="20"/>
        </w:rPr>
      </w:pPr>
      <w:r w:rsidRPr="00797A3F">
        <w:rPr>
          <w:rFonts w:ascii="Times New Roman" w:hAnsi="Times New Roman" w:cs="Times New Roman"/>
          <w:b/>
          <w:sz w:val="20"/>
        </w:rPr>
        <w:t xml:space="preserve">Statement of the </w:t>
      </w:r>
      <w:r w:rsidRPr="00797A3F">
        <w:rPr>
          <w:rFonts w:ascii="Times New Roman" w:hAnsi="Times New Roman" w:cs="Times New Roman"/>
          <w:b/>
          <w:sz w:val="20"/>
        </w:rPr>
        <w:t>problem</w:t>
      </w:r>
      <w:r w:rsidRPr="00797A3F">
        <w:rPr>
          <w:rFonts w:ascii="Times New Roman" w:hAnsi="Times New Roman" w:cs="Times New Roman"/>
          <w:b/>
          <w:sz w:val="20"/>
        </w:rPr>
        <w:t>:</w:t>
      </w:r>
      <w:r w:rsidRPr="00797A3F">
        <w:rPr>
          <w:rFonts w:ascii="Times New Roman" w:hAnsi="Times New Roman" w:cs="Times New Roman"/>
          <w:sz w:val="20"/>
        </w:rPr>
        <w:t xml:space="preserve"> Peritoneal </w:t>
      </w:r>
      <w:r w:rsidRPr="00797A3F">
        <w:rPr>
          <w:rFonts w:ascii="Times New Roman" w:hAnsi="Times New Roman" w:cs="Times New Roman"/>
          <w:sz w:val="20"/>
        </w:rPr>
        <w:t xml:space="preserve">Dialysis </w:t>
      </w:r>
      <w:r w:rsidRPr="00797A3F">
        <w:rPr>
          <w:rFonts w:ascii="Times New Roman" w:hAnsi="Times New Roman" w:cs="Times New Roman"/>
          <w:sz w:val="20"/>
        </w:rPr>
        <w:t xml:space="preserve">(PD) is one of the kidney replacement therapies that maintain the lives of patients with kidney failure. Long-term PD will lead to </w:t>
      </w:r>
      <w:r w:rsidRPr="00797A3F">
        <w:rPr>
          <w:rFonts w:ascii="Times New Roman" w:hAnsi="Times New Roman" w:cs="Times New Roman"/>
          <w:sz w:val="20"/>
        </w:rPr>
        <w:t xml:space="preserve">Peritoneal Fibrosis </w:t>
      </w:r>
      <w:r w:rsidRPr="00797A3F">
        <w:rPr>
          <w:rFonts w:ascii="Times New Roman" w:hAnsi="Times New Roman" w:cs="Times New Roman"/>
          <w:sz w:val="20"/>
        </w:rPr>
        <w:t xml:space="preserve">(PF), which would cause functional and morphologic changes in the peritoneum and eventually result in ultrafiltration failure. Despite efforts being made, there is still no effective treatment that has been developed to alleviate PF. Recently, an endoplasmic reticulum protein, </w:t>
      </w:r>
      <w:proofErr w:type="spellStart"/>
      <w:r w:rsidRPr="00797A3F">
        <w:rPr>
          <w:rFonts w:ascii="Times New Roman" w:hAnsi="Times New Roman" w:cs="Times New Roman"/>
          <w:sz w:val="20"/>
        </w:rPr>
        <w:t>Thioredoxin</w:t>
      </w:r>
      <w:proofErr w:type="spellEnd"/>
      <w:r w:rsidRPr="00797A3F">
        <w:rPr>
          <w:rFonts w:ascii="Times New Roman" w:hAnsi="Times New Roman" w:cs="Times New Roman"/>
          <w:sz w:val="20"/>
        </w:rPr>
        <w:t xml:space="preserve"> Domain</w:t>
      </w:r>
      <w:r w:rsidRPr="00797A3F">
        <w:rPr>
          <w:rFonts w:ascii="Times New Roman" w:hAnsi="Times New Roman" w:cs="Times New Roman"/>
          <w:sz w:val="20"/>
        </w:rPr>
        <w:t>-</w:t>
      </w:r>
      <w:r w:rsidRPr="00797A3F">
        <w:rPr>
          <w:rFonts w:ascii="Times New Roman" w:hAnsi="Times New Roman" w:cs="Times New Roman"/>
          <w:sz w:val="20"/>
        </w:rPr>
        <w:t xml:space="preserve">Containing </w:t>
      </w:r>
      <w:r w:rsidRPr="00797A3F">
        <w:rPr>
          <w:rFonts w:ascii="Times New Roman" w:hAnsi="Times New Roman" w:cs="Times New Roman"/>
          <w:sz w:val="20"/>
        </w:rPr>
        <w:t>protein 5 (TXNDC5), was identified as a novel mediator in the process of organ fibrosis in multiple organs. The purpose of this study is to explore a potential target to treat ultrafiltration failure by i</w:t>
      </w:r>
      <w:bookmarkStart w:id="0" w:name="_GoBack"/>
      <w:bookmarkEnd w:id="0"/>
      <w:r w:rsidRPr="00797A3F">
        <w:rPr>
          <w:rFonts w:ascii="Times New Roman" w:hAnsi="Times New Roman" w:cs="Times New Roman"/>
          <w:sz w:val="20"/>
        </w:rPr>
        <w:t xml:space="preserve">nvestigating the role of TXNDC5 in PF. </w:t>
      </w:r>
    </w:p>
    <w:p w:rsidR="00797A3F" w:rsidRPr="00797A3F" w:rsidRDefault="00797A3F" w:rsidP="00797A3F">
      <w:pPr>
        <w:jc w:val="both"/>
        <w:rPr>
          <w:rFonts w:ascii="Times New Roman" w:hAnsi="Times New Roman" w:cs="Times New Roman"/>
          <w:sz w:val="20"/>
        </w:rPr>
      </w:pPr>
      <w:r w:rsidRPr="00797A3F">
        <w:rPr>
          <w:rFonts w:ascii="Times New Roman" w:hAnsi="Times New Roman" w:cs="Times New Roman"/>
          <w:b/>
          <w:sz w:val="20"/>
        </w:rPr>
        <w:t xml:space="preserve">Methodology &amp; </w:t>
      </w:r>
      <w:r w:rsidRPr="00797A3F">
        <w:rPr>
          <w:rFonts w:ascii="Times New Roman" w:hAnsi="Times New Roman" w:cs="Times New Roman"/>
          <w:b/>
          <w:sz w:val="20"/>
        </w:rPr>
        <w:t>theoretical orientation</w:t>
      </w:r>
      <w:r w:rsidRPr="00797A3F">
        <w:rPr>
          <w:rFonts w:ascii="Times New Roman" w:hAnsi="Times New Roman" w:cs="Times New Roman"/>
          <w:b/>
          <w:sz w:val="20"/>
        </w:rPr>
        <w:t>:</w:t>
      </w:r>
      <w:r w:rsidRPr="00797A3F">
        <w:rPr>
          <w:rFonts w:ascii="Times New Roman" w:hAnsi="Times New Roman" w:cs="Times New Roman"/>
          <w:sz w:val="20"/>
        </w:rPr>
        <w:t xml:space="preserve"> A 5-week </w:t>
      </w:r>
      <w:proofErr w:type="spellStart"/>
      <w:r w:rsidRPr="00797A3F">
        <w:rPr>
          <w:rFonts w:ascii="Times New Roman" w:hAnsi="Times New Roman" w:cs="Times New Roman"/>
          <w:sz w:val="20"/>
        </w:rPr>
        <w:t>Methylglyoxal</w:t>
      </w:r>
      <w:proofErr w:type="spellEnd"/>
      <w:r w:rsidRPr="00797A3F">
        <w:rPr>
          <w:rFonts w:ascii="Times New Roman" w:hAnsi="Times New Roman" w:cs="Times New Roman"/>
          <w:sz w:val="20"/>
        </w:rPr>
        <w:t xml:space="preserve"> </w:t>
      </w:r>
      <w:r w:rsidRPr="00797A3F">
        <w:rPr>
          <w:rFonts w:ascii="Times New Roman" w:hAnsi="Times New Roman" w:cs="Times New Roman"/>
          <w:sz w:val="20"/>
        </w:rPr>
        <w:t>(MGO)-induced peritoneal fibrosis mouse model was established</w:t>
      </w:r>
      <w:r>
        <w:rPr>
          <w:rFonts w:ascii="Times New Roman" w:hAnsi="Times New Roman" w:cs="Times New Roman"/>
          <w:sz w:val="20"/>
        </w:rPr>
        <w:t xml:space="preserve"> and</w:t>
      </w:r>
      <w:r w:rsidRPr="00797A3F">
        <w:rPr>
          <w:rFonts w:ascii="Times New Roman" w:hAnsi="Times New Roman" w:cs="Times New Roman"/>
          <w:sz w:val="20"/>
        </w:rPr>
        <w:t xml:space="preserve"> the peritoneal tissue was harvested to validate the expression of fibrosis-related proteins and protein expression of TXNDC5 </w:t>
      </w:r>
      <w:r w:rsidRPr="00EF1C57">
        <w:rPr>
          <w:rFonts w:ascii="Times New Roman" w:hAnsi="Times New Roman" w:cs="Times New Roman"/>
          <w:i/>
          <w:sz w:val="20"/>
        </w:rPr>
        <w:t>via</w:t>
      </w:r>
      <w:r w:rsidRPr="00797A3F">
        <w:rPr>
          <w:rFonts w:ascii="Times New Roman" w:hAnsi="Times New Roman" w:cs="Times New Roman"/>
          <w:sz w:val="20"/>
        </w:rPr>
        <w:t xml:space="preserve"> western blot and immunofluorescence staining. </w:t>
      </w:r>
    </w:p>
    <w:p w:rsidR="00797A3F" w:rsidRDefault="00797A3F" w:rsidP="00797A3F">
      <w:pPr>
        <w:jc w:val="both"/>
        <w:rPr>
          <w:rFonts w:ascii="Times New Roman" w:hAnsi="Times New Roman" w:cs="Times New Roman"/>
          <w:sz w:val="20"/>
        </w:rPr>
      </w:pPr>
      <w:r w:rsidRPr="00797A3F">
        <w:rPr>
          <w:rFonts w:ascii="Times New Roman" w:hAnsi="Times New Roman" w:cs="Times New Roman"/>
          <w:b/>
          <w:sz w:val="20"/>
        </w:rPr>
        <w:t>Findings:</w:t>
      </w:r>
      <w:r w:rsidRPr="00797A3F">
        <w:rPr>
          <w:rFonts w:ascii="Times New Roman" w:hAnsi="Times New Roman" w:cs="Times New Roman"/>
          <w:sz w:val="20"/>
        </w:rPr>
        <w:t xml:space="preserve"> Histological and Masson’s </w:t>
      </w:r>
      <w:proofErr w:type="spellStart"/>
      <w:r w:rsidRPr="00797A3F">
        <w:rPr>
          <w:rFonts w:ascii="Times New Roman" w:hAnsi="Times New Roman" w:cs="Times New Roman"/>
          <w:sz w:val="20"/>
        </w:rPr>
        <w:t>trichrome</w:t>
      </w:r>
      <w:proofErr w:type="spellEnd"/>
      <w:r w:rsidRPr="00797A3F">
        <w:rPr>
          <w:rFonts w:ascii="Times New Roman" w:hAnsi="Times New Roman" w:cs="Times New Roman"/>
          <w:sz w:val="20"/>
        </w:rPr>
        <w:t xml:space="preserve"> staining showed MGO-induced significant peritoneum thickening when compared with PD fluid control group, indicating that the PF wa</w:t>
      </w:r>
      <w:r>
        <w:rPr>
          <w:rFonts w:ascii="Times New Roman" w:hAnsi="Times New Roman" w:cs="Times New Roman"/>
          <w:sz w:val="20"/>
        </w:rPr>
        <w:t>s successfully established (Figure</w:t>
      </w:r>
      <w:r w:rsidRPr="00797A3F">
        <w:rPr>
          <w:rFonts w:ascii="Times New Roman" w:hAnsi="Times New Roman" w:cs="Times New Roman"/>
          <w:sz w:val="20"/>
        </w:rPr>
        <w:t xml:space="preserve"> 1). </w:t>
      </w:r>
      <w:proofErr w:type="spellStart"/>
      <w:r w:rsidRPr="00797A3F">
        <w:rPr>
          <w:rFonts w:ascii="Times New Roman" w:hAnsi="Times New Roman" w:cs="Times New Roman"/>
          <w:sz w:val="20"/>
        </w:rPr>
        <w:t>Immunofluorescent</w:t>
      </w:r>
      <w:proofErr w:type="spellEnd"/>
      <w:r w:rsidRPr="00797A3F">
        <w:rPr>
          <w:rFonts w:ascii="Times New Roman" w:hAnsi="Times New Roman" w:cs="Times New Roman"/>
          <w:sz w:val="20"/>
        </w:rPr>
        <w:t xml:space="preserve"> staining confirmed that an increased TXNDC5 signal was present at the thickened parietal peritoneum. In addition, western blot results showed that both TXNDC5 and </w:t>
      </w:r>
      <w:proofErr w:type="spellStart"/>
      <w:r w:rsidRPr="00797A3F">
        <w:rPr>
          <w:rFonts w:ascii="Times New Roman" w:hAnsi="Times New Roman" w:cs="Times New Roman"/>
          <w:sz w:val="20"/>
        </w:rPr>
        <w:t>fibrogenesis</w:t>
      </w:r>
      <w:proofErr w:type="spellEnd"/>
      <w:r w:rsidRPr="00797A3F">
        <w:rPr>
          <w:rFonts w:ascii="Times New Roman" w:hAnsi="Times New Roman" w:cs="Times New Roman"/>
          <w:sz w:val="20"/>
        </w:rPr>
        <w:t xml:space="preserve">-related signaling were </w:t>
      </w:r>
      <w:proofErr w:type="spellStart"/>
      <w:r w:rsidRPr="00797A3F">
        <w:rPr>
          <w:rFonts w:ascii="Times New Roman" w:hAnsi="Times New Roman" w:cs="Times New Roman"/>
          <w:sz w:val="20"/>
        </w:rPr>
        <w:t>upregulated</w:t>
      </w:r>
      <w:proofErr w:type="spellEnd"/>
      <w:r>
        <w:rPr>
          <w:rFonts w:ascii="Times New Roman" w:hAnsi="Times New Roman" w:cs="Times New Roman"/>
          <w:sz w:val="20"/>
        </w:rPr>
        <w:t xml:space="preserve"> in MGO-induced peritoneum (Figure</w:t>
      </w:r>
      <w:r w:rsidRPr="00797A3F">
        <w:rPr>
          <w:rFonts w:ascii="Times New Roman" w:hAnsi="Times New Roman" w:cs="Times New Roman"/>
          <w:sz w:val="20"/>
        </w:rPr>
        <w:t xml:space="preserve"> 2). Using Col-GFP transgenic mice (Col1a1-GFPTg), we showed </w:t>
      </w:r>
      <w:proofErr w:type="spellStart"/>
      <w:r w:rsidRPr="00797A3F">
        <w:rPr>
          <w:rFonts w:ascii="Times New Roman" w:hAnsi="Times New Roman" w:cs="Times New Roman"/>
          <w:sz w:val="20"/>
        </w:rPr>
        <w:t>mesothelial</w:t>
      </w:r>
      <w:proofErr w:type="spellEnd"/>
      <w:r w:rsidRPr="00797A3F">
        <w:rPr>
          <w:rFonts w:ascii="Times New Roman" w:hAnsi="Times New Roman" w:cs="Times New Roman"/>
          <w:sz w:val="20"/>
        </w:rPr>
        <w:t xml:space="preserve"> cells became Col-GFP positive on the peritoneal surface, indicated that </w:t>
      </w:r>
      <w:proofErr w:type="spellStart"/>
      <w:r w:rsidRPr="00797A3F">
        <w:rPr>
          <w:rFonts w:ascii="Times New Roman" w:hAnsi="Times New Roman" w:cs="Times New Roman"/>
          <w:sz w:val="20"/>
        </w:rPr>
        <w:t>mesothelial</w:t>
      </w:r>
      <w:proofErr w:type="spellEnd"/>
      <w:r w:rsidRPr="00797A3F">
        <w:rPr>
          <w:rFonts w:ascii="Times New Roman" w:hAnsi="Times New Roman" w:cs="Times New Roman"/>
          <w:sz w:val="20"/>
        </w:rPr>
        <w:t xml:space="preserve"> cells expressed collagen I secreting ability after MGO-induction</w:t>
      </w:r>
      <w:r>
        <w:rPr>
          <w:rFonts w:ascii="Times New Roman" w:hAnsi="Times New Roman" w:cs="Times New Roman"/>
          <w:sz w:val="20"/>
        </w:rPr>
        <w:t xml:space="preserve"> and</w:t>
      </w:r>
      <w:r w:rsidRPr="00797A3F">
        <w:rPr>
          <w:rFonts w:ascii="Times New Roman" w:hAnsi="Times New Roman" w:cs="Times New Roman"/>
          <w:sz w:val="20"/>
        </w:rPr>
        <w:t xml:space="preserve"> likely play a role in the progression of MGO-induced peritoneal fibrosis (Fig</w:t>
      </w:r>
      <w:r>
        <w:rPr>
          <w:rFonts w:ascii="Times New Roman" w:hAnsi="Times New Roman" w:cs="Times New Roman"/>
          <w:sz w:val="20"/>
        </w:rPr>
        <w:t>ure</w:t>
      </w:r>
      <w:r w:rsidRPr="00797A3F">
        <w:rPr>
          <w:rFonts w:ascii="Times New Roman" w:hAnsi="Times New Roman" w:cs="Times New Roman"/>
          <w:sz w:val="20"/>
        </w:rPr>
        <w:t xml:space="preserve"> 3). </w:t>
      </w:r>
    </w:p>
    <w:p w:rsidR="00797A3F" w:rsidRDefault="00966A65" w:rsidP="00797A3F">
      <w:pPr>
        <w:jc w:val="center"/>
        <w:rPr>
          <w:rFonts w:ascii="Times New Roman" w:hAnsi="Times New Roman" w:cs="Times New Roman"/>
          <w:sz w:val="20"/>
        </w:rPr>
      </w:pPr>
      <w:r>
        <w:rPr>
          <w:rFonts w:ascii="Times New Roman" w:hAnsi="Times New Roman" w:cs="Times New Roman"/>
          <w:noProof/>
          <w:sz w:val="20"/>
        </w:rPr>
        <w:drawing>
          <wp:inline distT="0" distB="0" distL="0" distR="0">
            <wp:extent cx="2352866" cy="1113183"/>
            <wp:effectExtent l="0" t="0" r="9525" b="0"/>
            <wp:docPr id="3" name="Picture 3" descr="C:\Users\swetha-s\Downloads\SWETHA\May 2023\03-05-2023\World Nephrology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y 2023\03-05-2023\World Nephrology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3310" cy="1113393"/>
                    </a:xfrm>
                    <a:prstGeom prst="rect">
                      <a:avLst/>
                    </a:prstGeom>
                    <a:noFill/>
                    <a:ln>
                      <a:noFill/>
                    </a:ln>
                  </pic:spPr>
                </pic:pic>
              </a:graphicData>
            </a:graphic>
          </wp:inline>
        </w:drawing>
      </w:r>
    </w:p>
    <w:p w:rsidR="00797A3F" w:rsidRPr="00EF1C57" w:rsidRDefault="00797A3F" w:rsidP="00797A3F">
      <w:pPr>
        <w:jc w:val="center"/>
        <w:rPr>
          <w:rFonts w:ascii="Times New Roman" w:hAnsi="Times New Roman" w:cs="Times New Roman"/>
          <w:i/>
          <w:sz w:val="18"/>
        </w:rPr>
      </w:pPr>
      <w:proofErr w:type="gramStart"/>
      <w:r w:rsidRPr="00EF1C57">
        <w:rPr>
          <w:rFonts w:ascii="Times New Roman" w:hAnsi="Times New Roman" w:cs="Times New Roman"/>
          <w:b/>
          <w:i/>
          <w:sz w:val="18"/>
        </w:rPr>
        <w:t>Figure 1.</w:t>
      </w:r>
      <w:proofErr w:type="gramEnd"/>
      <w:r w:rsidRPr="00EF1C57">
        <w:rPr>
          <w:rFonts w:ascii="Times New Roman" w:hAnsi="Times New Roman" w:cs="Times New Roman"/>
          <w:i/>
          <w:sz w:val="18"/>
        </w:rPr>
        <w:t xml:space="preserve"> </w:t>
      </w:r>
      <w:proofErr w:type="gramStart"/>
      <w:r w:rsidRPr="00EF1C57">
        <w:rPr>
          <w:rFonts w:ascii="Times New Roman" w:hAnsi="Times New Roman" w:cs="Times New Roman"/>
          <w:i/>
          <w:sz w:val="18"/>
        </w:rPr>
        <w:t>MGO-induced peritoneum thickening with collagen accumulation.</w:t>
      </w:r>
      <w:proofErr w:type="gramEnd"/>
    </w:p>
    <w:p w:rsidR="00966A65" w:rsidRDefault="00966A65" w:rsidP="00797A3F">
      <w:pPr>
        <w:jc w:val="center"/>
        <w:rPr>
          <w:rFonts w:ascii="Times New Roman" w:hAnsi="Times New Roman" w:cs="Times New Roman"/>
          <w:sz w:val="20"/>
        </w:rPr>
      </w:pPr>
      <w:r>
        <w:rPr>
          <w:rFonts w:ascii="Times New Roman" w:hAnsi="Times New Roman" w:cs="Times New Roman"/>
          <w:noProof/>
          <w:sz w:val="20"/>
        </w:rPr>
        <w:drawing>
          <wp:inline distT="0" distB="0" distL="0" distR="0">
            <wp:extent cx="3236016" cy="1216550"/>
            <wp:effectExtent l="0" t="0" r="2540" b="3175"/>
            <wp:docPr id="4" name="Picture 4" descr="C:\Users\swetha-s\Downloads\SWETHA\May 2023\03-05-2023\World Nephrology 2023\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May 2023\03-05-2023\World Nephrology 2023\Fig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216529"/>
                    </a:xfrm>
                    <a:prstGeom prst="rect">
                      <a:avLst/>
                    </a:prstGeom>
                    <a:noFill/>
                    <a:ln>
                      <a:noFill/>
                    </a:ln>
                  </pic:spPr>
                </pic:pic>
              </a:graphicData>
            </a:graphic>
          </wp:inline>
        </w:drawing>
      </w:r>
    </w:p>
    <w:p w:rsidR="00966A65" w:rsidRPr="00EF1C57" w:rsidRDefault="00966A65" w:rsidP="00797A3F">
      <w:pPr>
        <w:jc w:val="center"/>
        <w:rPr>
          <w:rFonts w:ascii="Times New Roman" w:hAnsi="Times New Roman" w:cs="Times New Roman"/>
          <w:i/>
          <w:sz w:val="18"/>
        </w:rPr>
      </w:pPr>
      <w:proofErr w:type="gramStart"/>
      <w:r w:rsidRPr="00EF1C57">
        <w:rPr>
          <w:rFonts w:ascii="Times New Roman" w:hAnsi="Times New Roman" w:cs="Times New Roman"/>
          <w:b/>
          <w:i/>
          <w:sz w:val="18"/>
        </w:rPr>
        <w:t>Figure 2.</w:t>
      </w:r>
      <w:proofErr w:type="gramEnd"/>
      <w:r w:rsidRPr="00EF1C57">
        <w:rPr>
          <w:rFonts w:ascii="Times New Roman" w:hAnsi="Times New Roman" w:cs="Times New Roman"/>
          <w:i/>
          <w:sz w:val="18"/>
        </w:rPr>
        <w:t xml:space="preserve"> TXNDC5 protein expression was </w:t>
      </w:r>
      <w:proofErr w:type="spellStart"/>
      <w:r w:rsidRPr="00EF1C57">
        <w:rPr>
          <w:rFonts w:ascii="Times New Roman" w:hAnsi="Times New Roman" w:cs="Times New Roman"/>
          <w:i/>
          <w:sz w:val="18"/>
        </w:rPr>
        <w:t>upregulated</w:t>
      </w:r>
      <w:proofErr w:type="spellEnd"/>
      <w:r w:rsidRPr="00EF1C57">
        <w:rPr>
          <w:rFonts w:ascii="Times New Roman" w:hAnsi="Times New Roman" w:cs="Times New Roman"/>
          <w:i/>
          <w:sz w:val="18"/>
        </w:rPr>
        <w:t xml:space="preserve"> in MGO-induced peritoneum.</w:t>
      </w:r>
    </w:p>
    <w:p w:rsidR="00EF1C57" w:rsidRDefault="00EF1C57" w:rsidP="00797A3F">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extent cx="2282190" cy="1876425"/>
            <wp:effectExtent l="0" t="0" r="3810" b="9525"/>
            <wp:docPr id="5" name="Picture 5" descr="C:\Users\swetha-s\Downloads\SWETHA\May 2023\03-05-2023\World Nephrology 2023\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wetha-s\Downloads\SWETHA\May 2023\03-05-2023\World Nephrology 2023\Fig 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2190" cy="1876425"/>
                    </a:xfrm>
                    <a:prstGeom prst="rect">
                      <a:avLst/>
                    </a:prstGeom>
                    <a:noFill/>
                    <a:ln>
                      <a:noFill/>
                    </a:ln>
                  </pic:spPr>
                </pic:pic>
              </a:graphicData>
            </a:graphic>
          </wp:inline>
        </w:drawing>
      </w:r>
    </w:p>
    <w:p w:rsidR="00966A65" w:rsidRPr="00EF1C57" w:rsidRDefault="00966A65" w:rsidP="00797A3F">
      <w:pPr>
        <w:jc w:val="center"/>
        <w:rPr>
          <w:rFonts w:ascii="Times New Roman" w:hAnsi="Times New Roman" w:cs="Times New Roman"/>
          <w:i/>
          <w:sz w:val="18"/>
        </w:rPr>
      </w:pPr>
      <w:proofErr w:type="gramStart"/>
      <w:r w:rsidRPr="00EF1C57">
        <w:rPr>
          <w:rFonts w:ascii="Times New Roman" w:hAnsi="Times New Roman" w:cs="Times New Roman"/>
          <w:b/>
          <w:i/>
          <w:sz w:val="18"/>
        </w:rPr>
        <w:t>Figure 3.</w:t>
      </w:r>
      <w:proofErr w:type="gramEnd"/>
      <w:r w:rsidRPr="00EF1C57">
        <w:rPr>
          <w:rFonts w:ascii="Times New Roman" w:hAnsi="Times New Roman" w:cs="Times New Roman"/>
          <w:i/>
          <w:sz w:val="18"/>
        </w:rPr>
        <w:t xml:space="preserve"> MGO-induced </w:t>
      </w:r>
      <w:proofErr w:type="spellStart"/>
      <w:r w:rsidRPr="00EF1C57">
        <w:rPr>
          <w:rFonts w:ascii="Times New Roman" w:hAnsi="Times New Roman" w:cs="Times New Roman"/>
          <w:i/>
          <w:sz w:val="18"/>
        </w:rPr>
        <w:t>mesothelial</w:t>
      </w:r>
      <w:proofErr w:type="spellEnd"/>
      <w:r w:rsidRPr="00EF1C57">
        <w:rPr>
          <w:rFonts w:ascii="Times New Roman" w:hAnsi="Times New Roman" w:cs="Times New Roman"/>
          <w:i/>
          <w:sz w:val="18"/>
        </w:rPr>
        <w:t xml:space="preserve"> cells expressed Col1a1 signal.</w:t>
      </w:r>
    </w:p>
    <w:p w:rsidR="00474203" w:rsidRPr="00797A3F" w:rsidRDefault="00797A3F" w:rsidP="00797A3F">
      <w:pPr>
        <w:jc w:val="both"/>
        <w:rPr>
          <w:rFonts w:ascii="Times New Roman" w:hAnsi="Times New Roman" w:cs="Times New Roman"/>
          <w:sz w:val="20"/>
        </w:rPr>
      </w:pPr>
      <w:r w:rsidRPr="00797A3F">
        <w:rPr>
          <w:rFonts w:ascii="Times New Roman" w:hAnsi="Times New Roman" w:cs="Times New Roman"/>
          <w:b/>
          <w:sz w:val="20"/>
        </w:rPr>
        <w:t>Conclusion:</w:t>
      </w:r>
      <w:r w:rsidRPr="00797A3F">
        <w:rPr>
          <w:rFonts w:ascii="Times New Roman" w:hAnsi="Times New Roman" w:cs="Times New Roman"/>
          <w:sz w:val="20"/>
        </w:rPr>
        <w:t xml:space="preserve"> TXNDC5 protein expression is increased after MGO induction and is positively correlated with </w:t>
      </w:r>
      <w:proofErr w:type="spellStart"/>
      <w:r w:rsidRPr="00797A3F">
        <w:rPr>
          <w:rFonts w:ascii="Times New Roman" w:hAnsi="Times New Roman" w:cs="Times New Roman"/>
          <w:sz w:val="20"/>
        </w:rPr>
        <w:t>fibrogenesis</w:t>
      </w:r>
      <w:proofErr w:type="spellEnd"/>
      <w:r w:rsidRPr="00797A3F">
        <w:rPr>
          <w:rFonts w:ascii="Times New Roman" w:hAnsi="Times New Roman" w:cs="Times New Roman"/>
          <w:sz w:val="20"/>
        </w:rPr>
        <w:t>-related signaling. Therefore, targeting TXNDC5 could be a potential therapeutic approach against the development of PD-induced PF, which may prolong the service life of PD patients.</w:t>
      </w:r>
    </w:p>
    <w:p w:rsidR="00797A3F" w:rsidRPr="00797A3F" w:rsidRDefault="00797A3F" w:rsidP="00797A3F">
      <w:pPr>
        <w:rPr>
          <w:rFonts w:ascii="Times New Roman" w:hAnsi="Times New Roman" w:cs="Times New Roman"/>
          <w:b/>
          <w:sz w:val="24"/>
        </w:rPr>
      </w:pPr>
      <w:r w:rsidRPr="00797A3F">
        <w:rPr>
          <w:rFonts w:ascii="Times New Roman" w:hAnsi="Times New Roman" w:cs="Times New Roman"/>
          <w:b/>
          <w:sz w:val="24"/>
        </w:rPr>
        <w:t>Biography</w:t>
      </w:r>
      <w:r>
        <w:rPr>
          <w:rFonts w:ascii="Times New Roman" w:hAnsi="Times New Roman" w:cs="Times New Roman"/>
          <w:b/>
          <w:sz w:val="24"/>
        </w:rPr>
        <w:t xml:space="preserve"> </w:t>
      </w:r>
    </w:p>
    <w:p w:rsidR="00797A3F" w:rsidRPr="00797A3F" w:rsidRDefault="00797A3F" w:rsidP="00797A3F">
      <w:pPr>
        <w:jc w:val="both"/>
        <w:rPr>
          <w:rFonts w:ascii="Times New Roman" w:hAnsi="Times New Roman" w:cs="Times New Roman"/>
          <w:sz w:val="20"/>
        </w:rPr>
      </w:pPr>
      <w:r w:rsidRPr="00797A3F">
        <w:rPr>
          <w:rFonts w:ascii="Times New Roman" w:hAnsi="Times New Roman" w:cs="Times New Roman"/>
          <w:sz w:val="20"/>
        </w:rPr>
        <w:t xml:space="preserve">Chun-Jung </w:t>
      </w:r>
      <w:proofErr w:type="spellStart"/>
      <w:r w:rsidRPr="00797A3F">
        <w:rPr>
          <w:rFonts w:ascii="Times New Roman" w:hAnsi="Times New Roman" w:cs="Times New Roman"/>
          <w:sz w:val="20"/>
        </w:rPr>
        <w:t>Chien</w:t>
      </w:r>
      <w:proofErr w:type="spellEnd"/>
      <w:r w:rsidRPr="00797A3F">
        <w:rPr>
          <w:rFonts w:ascii="Times New Roman" w:hAnsi="Times New Roman" w:cs="Times New Roman"/>
          <w:sz w:val="20"/>
        </w:rPr>
        <w:t xml:space="preserve"> majors in veterinary medicine at NPUST, after obtaining her DVM license, she continues her study for a master degree in the conservation reproductive biology and regenerative medicine lab at the graduate institute of Veterinary Medicine at National Taiwan University. Her research focuses on investigating the mechanism of peritoneal dialysis-induced fibrosis and exploring novel therapeutic approaches for peritoneal fibrosis.</w:t>
      </w:r>
    </w:p>
    <w:sectPr w:rsidR="00797A3F" w:rsidRPr="00797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A3F"/>
    <w:rsid w:val="0032354D"/>
    <w:rsid w:val="00474203"/>
    <w:rsid w:val="00535872"/>
    <w:rsid w:val="00797A3F"/>
    <w:rsid w:val="00924B33"/>
    <w:rsid w:val="00966A65"/>
    <w:rsid w:val="00EF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7A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A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7A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A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2023-05-03T06:38:00Z</dcterms:created>
  <dcterms:modified xsi:type="dcterms:W3CDTF">2023-05-03T07:07:00Z</dcterms:modified>
</cp:coreProperties>
</file>