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6032C" w:rsidP="00C6032C">
      <w:pPr>
        <w:pStyle w:val="Heading1"/>
      </w:pPr>
      <w:r w:rsidRPr="00153918">
        <w:rPr>
          <w:color w:val="4F81BD" w:themeColor="accent1"/>
        </w:rPr>
        <w:t>Correlation between the Nature of Respiratory Organs Anatomy-physiology exceptionalities and Success in fighting against the Respiratory based Pathogens</w:t>
      </w:r>
      <w:r>
        <w:rPr>
          <w:color w:val="4F81BD" w:themeColor="accent1"/>
        </w:rPr>
        <w:t xml:space="preserve"> </w:t>
      </w:r>
    </w:p>
    <w:p w:rsidR="00C6032C" w:rsidRPr="0066094F" w:rsidRDefault="00C6032C" w:rsidP="00C6032C">
      <w:pPr>
        <w:ind w:left="720" w:right="-90"/>
        <w:jc w:val="both"/>
        <w:rPr>
          <w:rFonts w:ascii="Times New Roman" w:hAnsi="Times New Roman" w:cs="Times New Roman"/>
          <w:sz w:val="24"/>
          <w:szCs w:val="24"/>
        </w:rPr>
      </w:pPr>
      <w:r w:rsidRPr="0066094F">
        <w:rPr>
          <w:rFonts w:ascii="Times New Roman" w:hAnsi="Times New Roman" w:cs="Times New Roman"/>
          <w:sz w:val="24"/>
          <w:szCs w:val="24"/>
        </w:rPr>
        <w:t>DESSALEGN TEMESGEN LEYE (PHD)</w:t>
      </w:r>
      <w:r>
        <w:rPr>
          <w:rFonts w:ascii="Times New Roman" w:hAnsi="Times New Roman" w:cs="Times New Roman"/>
          <w:sz w:val="24"/>
          <w:szCs w:val="24"/>
        </w:rPr>
        <w:t xml:space="preserve"> </w:t>
      </w:r>
      <w:r w:rsidRPr="0066094F">
        <w:rPr>
          <w:rFonts w:ascii="Times New Roman" w:hAnsi="Times New Roman" w:cs="Times New Roman"/>
          <w:sz w:val="24"/>
          <w:szCs w:val="24"/>
        </w:rPr>
        <w:t>A</w:t>
      </w:r>
      <w:r>
        <w:rPr>
          <w:rFonts w:ascii="Times New Roman" w:hAnsi="Times New Roman" w:cs="Times New Roman"/>
          <w:sz w:val="24"/>
          <w:szCs w:val="24"/>
        </w:rPr>
        <w:t>AST</w:t>
      </w:r>
      <w:r w:rsidRPr="0066094F">
        <w:rPr>
          <w:rFonts w:ascii="Times New Roman" w:hAnsi="Times New Roman" w:cs="Times New Roman"/>
          <w:sz w:val="24"/>
          <w:szCs w:val="24"/>
        </w:rPr>
        <w:t xml:space="preserve"> UNIVERSITY</w:t>
      </w:r>
      <w:r>
        <w:rPr>
          <w:rFonts w:ascii="Times New Roman" w:hAnsi="Times New Roman" w:cs="Times New Roman"/>
          <w:sz w:val="24"/>
          <w:szCs w:val="24"/>
        </w:rPr>
        <w:t xml:space="preserve"> (ETHIOPIA)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217B07" w:rsidRPr="002D0790" w:rsidRDefault="00217B07" w:rsidP="00E53115">
      <w:pPr>
        <w:ind w:left="90" w:right="84"/>
        <w:jc w:val="both"/>
        <w:rPr>
          <w:rFonts w:cstheme="minorHAnsi"/>
          <w:sz w:val="20"/>
          <w:szCs w:val="20"/>
        </w:rPr>
      </w:pPr>
      <w:r w:rsidRPr="002D0790">
        <w:rPr>
          <w:rFonts w:ascii="Times New Roman" w:hAnsi="Times New Roman" w:cs="Times New Roman"/>
          <w:sz w:val="20"/>
          <w:szCs w:val="20"/>
        </w:rPr>
        <w:t>Recent COVID-19 becomes destructive disease for not only respiratory organs, but also heart and kidney become organs that highly are affecting during COVID-19. However, still there is no work that can clearly show how COVID-19 affects vital organs. Moreover, on vaccination issue: although</w:t>
      </w:r>
      <w:r w:rsidRPr="002D0790">
        <w:rPr>
          <w:rFonts w:ascii="Nyala" w:hAnsi="Nyala" w:cs="Times New Roman"/>
          <w:sz w:val="20"/>
          <w:szCs w:val="20"/>
        </w:rPr>
        <w:t xml:space="preserve"> v</w:t>
      </w:r>
      <w:r w:rsidRPr="002D0790">
        <w:rPr>
          <w:rStyle w:val="y2iqfc"/>
          <w:rFonts w:ascii="Times New Roman" w:hAnsi="Times New Roman" w:cs="Times New Roman"/>
          <w:color w:val="202124"/>
          <w:sz w:val="20"/>
          <w:szCs w:val="20"/>
        </w:rPr>
        <w:t>accination has a century history with some good reputations like the eradication of polio and smallpox, in cause of the respiratory organs and their pathogens including SARS-CoV-2, we have some doubts on whether scientists are aware of the anatomical-physiological exceptionalities of the respiratory organs during their vaccine development. We have enough published and unpublished materials on the issues. Therefore, during the presentation, we will reveal both theoretical and practical results that prove our postulation: how vital organs like kidney and heart are affecting during COVID-19 infection and we will show how there is an inverse correlation between the vaccines' successes in containing respiratory based pathogens to the anatomical-physiological peculiarities of Respiratory tracts’ epithelial cells. In addition, we will suggest our new theory of disease treatment - the DICO</w:t>
      </w:r>
      <w:r w:rsidRPr="002D0790">
        <w:rPr>
          <w:rFonts w:ascii="Times New Roman" w:hAnsi="Times New Roman" w:cs="Times New Roman"/>
          <w:sz w:val="20"/>
          <w:szCs w:val="20"/>
        </w:rPr>
        <w:t xml:space="preserve">! As a result of our presentation, except the kidney and heart issues: </w:t>
      </w:r>
      <w:r w:rsidRPr="002D0790">
        <w:rPr>
          <w:rFonts w:cstheme="minorHAnsi"/>
          <w:sz w:val="20"/>
          <w:szCs w:val="20"/>
        </w:rPr>
        <w:t xml:space="preserve">Scientists will start taking into account the exceptionality of the anatomy-physiology of respiratory organs; Vaccine developers will have a clue on how to develop vaccine against respiratory based pathogens; and </w:t>
      </w:r>
      <w:r w:rsidRPr="002D0790">
        <w:rPr>
          <w:color w:val="2E2A25"/>
          <w:sz w:val="20"/>
          <w:szCs w:val="20"/>
        </w:rPr>
        <w:t>Will show that our study helps to think about a problem in a new way: changed the way we think about the respiratory based pathogens – a paradigm shift to a new way of respiratory infection treatment</w:t>
      </w:r>
    </w:p>
    <w:p w:rsidR="00E53115" w:rsidRDefault="005973B9" w:rsidP="00E53115">
      <w:pPr>
        <w:spacing w:line="204" w:lineRule="exact"/>
        <w:rPr>
          <w:rFonts w:ascii="Arial"/>
          <w:b/>
          <w:color w:val="BF5A14"/>
          <w:sz w:val="20"/>
        </w:rPr>
      </w:pPr>
      <w:r>
        <w:rPr>
          <w:rFonts w:ascii="Arial"/>
          <w:b/>
          <w:color w:val="BF5A14"/>
          <w:sz w:val="20"/>
        </w:rPr>
        <w:br/>
        <w:t xml:space="preserve">Recent Publications </w:t>
      </w:r>
    </w:p>
    <w:p w:rsidR="00A86763" w:rsidRPr="008071E4" w:rsidRDefault="00A86763" w:rsidP="00A86763">
      <w:pPr>
        <w:pStyle w:val="ListParagraph"/>
        <w:widowControl/>
        <w:numPr>
          <w:ilvl w:val="0"/>
          <w:numId w:val="4"/>
        </w:numPr>
        <w:tabs>
          <w:tab w:val="left" w:pos="630"/>
        </w:tabs>
        <w:spacing w:before="0" w:after="200" w:line="276" w:lineRule="auto"/>
        <w:contextualSpacing/>
        <w:rPr>
          <w:rFonts w:ascii="Nyala" w:hAnsi="Nyala"/>
          <w:i/>
          <w:sz w:val="20"/>
          <w:szCs w:val="20"/>
        </w:rPr>
      </w:pPr>
      <w:proofErr w:type="spellStart"/>
      <w:r w:rsidRPr="008071E4">
        <w:rPr>
          <w:rFonts w:ascii="Nyala" w:hAnsi="Nyala"/>
          <w:i/>
          <w:sz w:val="20"/>
          <w:szCs w:val="20"/>
        </w:rPr>
        <w:t>Dessalegn</w:t>
      </w:r>
      <w:proofErr w:type="spellEnd"/>
      <w:r w:rsidRPr="008071E4">
        <w:rPr>
          <w:rFonts w:ascii="Nyala" w:hAnsi="Nyala"/>
          <w:i/>
          <w:sz w:val="20"/>
          <w:szCs w:val="20"/>
        </w:rPr>
        <w:t xml:space="preserve"> </w:t>
      </w:r>
      <w:proofErr w:type="spellStart"/>
      <w:r w:rsidRPr="008071E4">
        <w:rPr>
          <w:rFonts w:ascii="Nyala" w:hAnsi="Nyala"/>
          <w:i/>
          <w:sz w:val="20"/>
          <w:szCs w:val="20"/>
        </w:rPr>
        <w:t>Temesgen</w:t>
      </w:r>
      <w:proofErr w:type="spellEnd"/>
      <w:r w:rsidRPr="008071E4">
        <w:rPr>
          <w:rFonts w:ascii="Nyala" w:hAnsi="Nyala"/>
          <w:i/>
          <w:sz w:val="20"/>
          <w:szCs w:val="20"/>
        </w:rPr>
        <w:t xml:space="preserve"> </w:t>
      </w:r>
      <w:proofErr w:type="spellStart"/>
      <w:r w:rsidRPr="008071E4">
        <w:rPr>
          <w:rFonts w:ascii="Nyala" w:hAnsi="Nyala"/>
          <w:i/>
          <w:sz w:val="20"/>
          <w:szCs w:val="20"/>
        </w:rPr>
        <w:t>Leye</w:t>
      </w:r>
      <w:proofErr w:type="spellEnd"/>
      <w:r w:rsidRPr="008071E4">
        <w:rPr>
          <w:rFonts w:ascii="Nyala" w:hAnsi="Nyala"/>
          <w:i/>
          <w:sz w:val="20"/>
          <w:szCs w:val="20"/>
        </w:rPr>
        <w:t xml:space="preserve">  / Role of the Linkages between Mucus Secreting Intensity and age Differences for Being </w:t>
      </w:r>
      <w:r w:rsidRPr="008071E4">
        <w:rPr>
          <w:rFonts w:ascii="Nyala" w:hAnsi="Nyala"/>
          <w:i/>
          <w:sz w:val="20"/>
          <w:szCs w:val="20"/>
        </w:rPr>
        <w:lastRenderedPageBreak/>
        <w:t xml:space="preserve">Infected by SARS-CoV-2 / </w:t>
      </w:r>
      <w:proofErr w:type="spellStart"/>
      <w:r w:rsidRPr="008071E4">
        <w:rPr>
          <w:rFonts w:ascii="Nyala" w:hAnsi="Nyala"/>
          <w:i/>
          <w:sz w:val="20"/>
          <w:szCs w:val="20"/>
        </w:rPr>
        <w:t>EScientiﬁc</w:t>
      </w:r>
      <w:proofErr w:type="spellEnd"/>
      <w:r w:rsidRPr="008071E4">
        <w:rPr>
          <w:rFonts w:ascii="Nyala" w:hAnsi="Nyala"/>
          <w:i/>
          <w:sz w:val="20"/>
          <w:szCs w:val="20"/>
        </w:rPr>
        <w:t xml:space="preserve"> Volume 3 Issue 1 – 2021January 26, 2021 / https://www.EScientiﬁcPublishers.com</w:t>
      </w:r>
    </w:p>
    <w:p w:rsidR="00A86763" w:rsidRPr="008071E4" w:rsidRDefault="00A86763" w:rsidP="00A86763">
      <w:pPr>
        <w:pStyle w:val="ListParagraph"/>
        <w:widowControl/>
        <w:numPr>
          <w:ilvl w:val="0"/>
          <w:numId w:val="4"/>
        </w:numPr>
        <w:tabs>
          <w:tab w:val="left" w:pos="630"/>
        </w:tabs>
        <w:spacing w:before="0" w:after="200" w:line="276" w:lineRule="auto"/>
        <w:contextualSpacing/>
        <w:rPr>
          <w:rFonts w:ascii="Nyala" w:hAnsi="Nyala"/>
          <w:i/>
          <w:sz w:val="20"/>
          <w:szCs w:val="20"/>
        </w:rPr>
      </w:pPr>
      <w:proofErr w:type="spellStart"/>
      <w:r w:rsidRPr="008071E4">
        <w:rPr>
          <w:rFonts w:ascii="Nyala" w:hAnsi="Nyala"/>
          <w:i/>
          <w:sz w:val="20"/>
          <w:szCs w:val="20"/>
        </w:rPr>
        <w:t>Dessalegn</w:t>
      </w:r>
      <w:proofErr w:type="spellEnd"/>
      <w:r w:rsidRPr="008071E4">
        <w:rPr>
          <w:rFonts w:ascii="Nyala" w:hAnsi="Nyala"/>
          <w:i/>
          <w:sz w:val="20"/>
          <w:szCs w:val="20"/>
        </w:rPr>
        <w:t xml:space="preserve"> </w:t>
      </w:r>
      <w:proofErr w:type="spellStart"/>
      <w:r w:rsidRPr="008071E4">
        <w:rPr>
          <w:rFonts w:ascii="Nyala" w:hAnsi="Nyala"/>
          <w:i/>
          <w:sz w:val="20"/>
          <w:szCs w:val="20"/>
        </w:rPr>
        <w:t>Temesgen</w:t>
      </w:r>
      <w:proofErr w:type="spellEnd"/>
      <w:r w:rsidRPr="008071E4">
        <w:rPr>
          <w:rFonts w:ascii="Nyala" w:hAnsi="Nyala"/>
          <w:i/>
          <w:sz w:val="20"/>
          <w:szCs w:val="20"/>
        </w:rPr>
        <w:t xml:space="preserve"> </w:t>
      </w:r>
      <w:proofErr w:type="spellStart"/>
      <w:r w:rsidRPr="008071E4">
        <w:rPr>
          <w:rFonts w:ascii="Nyala" w:hAnsi="Nyala"/>
          <w:i/>
          <w:sz w:val="20"/>
          <w:szCs w:val="20"/>
        </w:rPr>
        <w:t>Leye</w:t>
      </w:r>
      <w:proofErr w:type="spellEnd"/>
      <w:r w:rsidRPr="008071E4">
        <w:rPr>
          <w:rFonts w:ascii="Nyala" w:hAnsi="Nyala"/>
          <w:i/>
          <w:sz w:val="20"/>
          <w:szCs w:val="20"/>
        </w:rPr>
        <w:t xml:space="preserve">  / Uncertainties on Recent Vaccines’ feasibility against sars-cov-2; postulating new approaches on drug-vaccine development; and schematizing the possible options for investigating the origin of a pathogen (International Journal of Innovation Scientific Research and Review IJISRR / Volume Issue 2, February 2021)</w:t>
      </w:r>
    </w:p>
    <w:p w:rsidR="00A86763" w:rsidRPr="008071E4" w:rsidRDefault="00A86763" w:rsidP="00A86763">
      <w:pPr>
        <w:pStyle w:val="ListParagraph"/>
        <w:widowControl/>
        <w:numPr>
          <w:ilvl w:val="0"/>
          <w:numId w:val="4"/>
        </w:numPr>
        <w:tabs>
          <w:tab w:val="left" w:pos="630"/>
        </w:tabs>
        <w:spacing w:before="0" w:after="200" w:line="276" w:lineRule="auto"/>
        <w:contextualSpacing/>
        <w:rPr>
          <w:rFonts w:ascii="Nyala" w:hAnsi="Nyala"/>
          <w:i/>
          <w:sz w:val="20"/>
          <w:szCs w:val="20"/>
        </w:rPr>
      </w:pPr>
      <w:proofErr w:type="spellStart"/>
      <w:r w:rsidRPr="008071E4">
        <w:rPr>
          <w:rFonts w:ascii="Nyala" w:eastAsia="Times New Roman" w:hAnsi="Nyala"/>
          <w:color w:val="333333"/>
          <w:kern w:val="36"/>
          <w:sz w:val="20"/>
          <w:szCs w:val="20"/>
        </w:rPr>
        <w:t>Dessalegn</w:t>
      </w:r>
      <w:proofErr w:type="spellEnd"/>
      <w:r w:rsidRPr="008071E4">
        <w:rPr>
          <w:rFonts w:ascii="Nyala" w:eastAsia="Times New Roman" w:hAnsi="Nyala"/>
          <w:color w:val="333333"/>
          <w:kern w:val="36"/>
          <w:sz w:val="20"/>
          <w:szCs w:val="20"/>
        </w:rPr>
        <w:t xml:space="preserve"> </w:t>
      </w:r>
      <w:proofErr w:type="spellStart"/>
      <w:r w:rsidRPr="008071E4">
        <w:rPr>
          <w:rFonts w:ascii="Nyala" w:eastAsia="Times New Roman" w:hAnsi="Nyala"/>
          <w:color w:val="333333"/>
          <w:kern w:val="36"/>
          <w:sz w:val="20"/>
          <w:szCs w:val="20"/>
        </w:rPr>
        <w:t>Temesgen</w:t>
      </w:r>
      <w:proofErr w:type="spellEnd"/>
      <w:r w:rsidRPr="008071E4">
        <w:rPr>
          <w:rFonts w:ascii="Nyala" w:eastAsia="Times New Roman" w:hAnsi="Nyala"/>
          <w:color w:val="333333"/>
          <w:kern w:val="36"/>
          <w:sz w:val="20"/>
          <w:szCs w:val="20"/>
        </w:rPr>
        <w:t xml:space="preserve"> </w:t>
      </w:r>
      <w:proofErr w:type="spellStart"/>
      <w:r w:rsidRPr="008071E4">
        <w:rPr>
          <w:rFonts w:ascii="Nyala" w:eastAsia="Times New Roman" w:hAnsi="Nyala"/>
          <w:color w:val="333333"/>
          <w:kern w:val="36"/>
          <w:sz w:val="20"/>
          <w:szCs w:val="20"/>
        </w:rPr>
        <w:t>Leye</w:t>
      </w:r>
      <w:proofErr w:type="spellEnd"/>
      <w:r w:rsidRPr="008071E4">
        <w:rPr>
          <w:rFonts w:ascii="Nyala" w:eastAsia="Times New Roman" w:hAnsi="Nyala"/>
          <w:color w:val="333333"/>
          <w:kern w:val="36"/>
          <w:sz w:val="20"/>
          <w:szCs w:val="20"/>
        </w:rPr>
        <w:t xml:space="preserve"> / Three Puzzling Questions on Covid-19: are recent vaccines feasible to stop the pandemic; what measures can boost a vaccination; and does corona affect sexual intimacy? / International Journal of Innovation Scientific Research and Review Vol. 03, Issue, 11, pp.2032-2053, November, 2021 Available online at </w:t>
      </w:r>
      <w:hyperlink r:id="rId9" w:history="1">
        <w:r w:rsidRPr="008071E4">
          <w:rPr>
            <w:rStyle w:val="Hyperlink"/>
            <w:rFonts w:ascii="Nyala" w:eastAsia="Times New Roman" w:hAnsi="Nyala"/>
            <w:kern w:val="36"/>
            <w:sz w:val="20"/>
            <w:szCs w:val="20"/>
          </w:rPr>
          <w:t>http://www.journalijisr.com</w:t>
        </w:r>
      </w:hyperlink>
      <w:r w:rsidRPr="008071E4">
        <w:rPr>
          <w:rFonts w:ascii="Nyala" w:hAnsi="Nyala"/>
          <w:sz w:val="20"/>
          <w:szCs w:val="20"/>
        </w:rPr>
        <w:t xml:space="preserve"> or GSJ v.9 issue 11, 2021</w:t>
      </w:r>
    </w:p>
    <w:p w:rsidR="00A86763" w:rsidRPr="008071E4" w:rsidRDefault="00A86763" w:rsidP="00A86763">
      <w:pPr>
        <w:pStyle w:val="ListParagraph"/>
        <w:widowControl/>
        <w:numPr>
          <w:ilvl w:val="0"/>
          <w:numId w:val="4"/>
        </w:numPr>
        <w:tabs>
          <w:tab w:val="left" w:pos="630"/>
        </w:tabs>
        <w:spacing w:before="0" w:after="200" w:line="276" w:lineRule="auto"/>
        <w:contextualSpacing/>
        <w:rPr>
          <w:rFonts w:ascii="Nyala" w:hAnsi="Nyala"/>
          <w:i/>
          <w:sz w:val="20"/>
          <w:szCs w:val="20"/>
        </w:rPr>
      </w:pPr>
      <w:proofErr w:type="spellStart"/>
      <w:r w:rsidRPr="008071E4">
        <w:rPr>
          <w:rFonts w:ascii="Nyala" w:hAnsi="Nyala"/>
          <w:i/>
          <w:sz w:val="20"/>
          <w:szCs w:val="20"/>
        </w:rPr>
        <w:t>Dessalegn</w:t>
      </w:r>
      <w:proofErr w:type="spellEnd"/>
      <w:r w:rsidRPr="008071E4">
        <w:rPr>
          <w:rFonts w:ascii="Nyala" w:hAnsi="Nyala"/>
          <w:i/>
          <w:sz w:val="20"/>
          <w:szCs w:val="20"/>
        </w:rPr>
        <w:t xml:space="preserve"> </w:t>
      </w:r>
      <w:proofErr w:type="spellStart"/>
      <w:r w:rsidRPr="008071E4">
        <w:rPr>
          <w:rFonts w:ascii="Nyala" w:hAnsi="Nyala"/>
          <w:i/>
          <w:sz w:val="20"/>
          <w:szCs w:val="20"/>
        </w:rPr>
        <w:t>Temesgen</w:t>
      </w:r>
      <w:proofErr w:type="spellEnd"/>
      <w:r w:rsidRPr="008071E4">
        <w:rPr>
          <w:rFonts w:ascii="Nyala" w:hAnsi="Nyala"/>
          <w:i/>
          <w:sz w:val="20"/>
          <w:szCs w:val="20"/>
        </w:rPr>
        <w:t xml:space="preserve"> </w:t>
      </w:r>
      <w:proofErr w:type="spellStart"/>
      <w:r w:rsidRPr="008071E4">
        <w:rPr>
          <w:rFonts w:ascii="Nyala" w:hAnsi="Nyala"/>
          <w:i/>
          <w:sz w:val="20"/>
          <w:szCs w:val="20"/>
        </w:rPr>
        <w:t>Leye</w:t>
      </w:r>
      <w:proofErr w:type="spellEnd"/>
      <w:r w:rsidRPr="008071E4">
        <w:rPr>
          <w:rFonts w:ascii="Nyala" w:hAnsi="Nyala"/>
          <w:i/>
          <w:sz w:val="20"/>
          <w:szCs w:val="20"/>
        </w:rPr>
        <w:t xml:space="preserve">  / “Running a 30 days Global Campaign of Stay at Safe Place and or if forced to go out never wear off Face Mask until return back” Journal of Medical Research and Clinical Case Reports (unless the publisher </w:t>
      </w:r>
      <w:proofErr w:type="spellStart"/>
      <w:r w:rsidRPr="008071E4">
        <w:rPr>
          <w:rFonts w:ascii="Nyala" w:hAnsi="Nyala"/>
          <w:i/>
          <w:sz w:val="20"/>
          <w:szCs w:val="20"/>
        </w:rPr>
        <w:t>Escientific</w:t>
      </w:r>
      <w:proofErr w:type="spellEnd"/>
      <w:r w:rsidRPr="008071E4">
        <w:rPr>
          <w:rFonts w:ascii="Nyala" w:hAnsi="Nyala"/>
          <w:i/>
          <w:sz w:val="20"/>
          <w:szCs w:val="20"/>
        </w:rPr>
        <w:t xml:space="preserve"> postponed the publication) or from Global Scientific Journal, Volume 9 Issue 12 , December 2021 edition on its last (6</w:t>
      </w:r>
      <w:r w:rsidRPr="008071E4">
        <w:rPr>
          <w:rFonts w:ascii="Nyala" w:hAnsi="Nyala"/>
          <w:i/>
          <w:sz w:val="20"/>
          <w:szCs w:val="20"/>
          <w:vertAlign w:val="superscript"/>
        </w:rPr>
        <w:t>th</w:t>
      </w:r>
      <w:r w:rsidRPr="008071E4">
        <w:rPr>
          <w:rFonts w:ascii="Nyala" w:hAnsi="Nyala"/>
          <w:i/>
          <w:sz w:val="20"/>
          <w:szCs w:val="20"/>
        </w:rPr>
        <w:t>) page</w:t>
      </w:r>
    </w:p>
    <w:p w:rsidR="005973B9" w:rsidRPr="00A86763" w:rsidRDefault="00A86763" w:rsidP="00A86763">
      <w:pPr>
        <w:pStyle w:val="ListParagraph"/>
        <w:widowControl/>
        <w:numPr>
          <w:ilvl w:val="0"/>
          <w:numId w:val="4"/>
        </w:numPr>
        <w:tabs>
          <w:tab w:val="left" w:pos="630"/>
        </w:tabs>
        <w:spacing w:before="0" w:after="200" w:line="276" w:lineRule="auto"/>
        <w:contextualSpacing/>
        <w:rPr>
          <w:rFonts w:ascii="Nyala" w:hAnsi="Nyala"/>
          <w:i/>
          <w:sz w:val="20"/>
          <w:szCs w:val="20"/>
        </w:rPr>
      </w:pPr>
      <w:proofErr w:type="spellStart"/>
      <w:r w:rsidRPr="008071E4">
        <w:rPr>
          <w:rFonts w:ascii="Nyala" w:hAnsi="Nyala"/>
          <w:i/>
          <w:sz w:val="20"/>
          <w:szCs w:val="20"/>
        </w:rPr>
        <w:t>Dessalegn</w:t>
      </w:r>
      <w:proofErr w:type="spellEnd"/>
      <w:r w:rsidRPr="008071E4">
        <w:rPr>
          <w:rFonts w:ascii="Nyala" w:hAnsi="Nyala"/>
          <w:i/>
          <w:sz w:val="20"/>
          <w:szCs w:val="20"/>
        </w:rPr>
        <w:t xml:space="preserve"> </w:t>
      </w:r>
      <w:proofErr w:type="spellStart"/>
      <w:r w:rsidRPr="008071E4">
        <w:rPr>
          <w:rFonts w:ascii="Nyala" w:hAnsi="Nyala"/>
          <w:i/>
          <w:sz w:val="20"/>
          <w:szCs w:val="20"/>
        </w:rPr>
        <w:t>Temesgen</w:t>
      </w:r>
      <w:proofErr w:type="spellEnd"/>
      <w:r w:rsidRPr="008071E4">
        <w:rPr>
          <w:rFonts w:ascii="Nyala" w:hAnsi="Nyala"/>
          <w:i/>
          <w:sz w:val="20"/>
          <w:szCs w:val="20"/>
        </w:rPr>
        <w:t xml:space="preserve"> </w:t>
      </w:r>
      <w:proofErr w:type="spellStart"/>
      <w:r w:rsidRPr="008071E4">
        <w:rPr>
          <w:rFonts w:ascii="Nyala" w:hAnsi="Nyala"/>
          <w:i/>
          <w:sz w:val="20"/>
          <w:szCs w:val="20"/>
        </w:rPr>
        <w:t>Leye</w:t>
      </w:r>
      <w:proofErr w:type="spellEnd"/>
      <w:r w:rsidRPr="008071E4">
        <w:rPr>
          <w:rFonts w:ascii="Nyala" w:hAnsi="Nyala"/>
          <w:i/>
          <w:sz w:val="20"/>
          <w:szCs w:val="20"/>
        </w:rPr>
        <w:t xml:space="preserve">  / Correlation between the Exceptionality of the Human Respiratory Tracts Anatomy-Physiology and Success in fighting Pathogens (yet not published, but evaluated and abstract accepted for several conferences)</w:t>
      </w:r>
    </w:p>
    <w:p w:rsidR="00AE3E37" w:rsidRPr="008756E6" w:rsidRDefault="00AE3E37" w:rsidP="008756E6">
      <w:pPr>
        <w:tabs>
          <w:tab w:val="left" w:pos="384"/>
        </w:tabs>
        <w:ind w:right="117"/>
      </w:pPr>
    </w:p>
    <w:p w:rsidR="00AE3E37" w:rsidRDefault="00715563">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cstheme="minorHAnsi"/>
          <w:noProof/>
          <w:sz w:val="24"/>
          <w:szCs w:val="24"/>
        </w:rPr>
        <w:drawing>
          <wp:anchor distT="0" distB="0" distL="114300" distR="114300" simplePos="0" relativeHeight="251659264" behindDoc="0" locked="0" layoutInCell="1" allowOverlap="1" wp14:anchorId="47A34CF1" wp14:editId="5ECB8F44">
            <wp:simplePos x="0" y="0"/>
            <wp:positionH relativeFrom="column">
              <wp:posOffset>827405</wp:posOffset>
            </wp:positionH>
            <wp:positionV relativeFrom="paragraph">
              <wp:posOffset>393065</wp:posOffset>
            </wp:positionV>
            <wp:extent cx="1143000" cy="125539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salegn I prefer this one, since I am for face maski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000" cy="1255395"/>
                    </a:xfrm>
                    <a:prstGeom prst="rect">
                      <a:avLst/>
                    </a:prstGeom>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rsidR="00AE3E37" w:rsidRDefault="00AE3E37">
      <w:pPr>
        <w:pStyle w:val="BodyText"/>
        <w:spacing w:line="40" w:lineRule="exact"/>
        <w:ind w:left="2202"/>
        <w:rPr>
          <w:rFonts w:ascii="Calibri"/>
          <w:sz w:val="4"/>
        </w:rPr>
      </w:pPr>
    </w:p>
    <w:p w:rsidR="00715563" w:rsidRDefault="008756E6" w:rsidP="00404E5B">
      <w:pPr>
        <w:spacing w:before="92"/>
        <w:ind w:right="4234"/>
        <w:rPr>
          <w:noProof/>
        </w:rPr>
      </w:pPr>
      <w:r>
        <w:rPr>
          <w:noProof/>
        </w:rPr>
        <w:t xml:space="preserve">      </w:t>
      </w:r>
      <w:r w:rsidR="00C35C83">
        <w:rPr>
          <w:noProof/>
        </w:rPr>
        <w:t xml:space="preserve">   </w:t>
      </w:r>
      <w:r w:rsidR="003D2361">
        <w:rPr>
          <w:rFonts w:ascii="Minion Pro"/>
          <w:b/>
          <w:noProof/>
          <w:sz w:val="20"/>
        </w:rPr>
        <w:drawing>
          <wp:inline distT="0" distB="0" distL="0" distR="0" wp14:anchorId="12B011D9" wp14:editId="07A96F80">
            <wp:extent cx="875217" cy="1121128"/>
            <wp:effectExtent l="0" t="0" r="1270" b="3175"/>
            <wp:docPr id="4" name="Picture 4" descr="C:\Users\Smart2\Pictures\Saved Pictures\20220405_092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art2\Pictures\Saved Pictures\20220405_0921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5912" cy="1122018"/>
                    </a:xfrm>
                    <a:prstGeom prst="rect">
                      <a:avLst/>
                    </a:prstGeom>
                    <a:noFill/>
                    <a:ln>
                      <a:noFill/>
                    </a:ln>
                  </pic:spPr>
                </pic:pic>
              </a:graphicData>
            </a:graphic>
          </wp:inline>
        </w:drawing>
      </w:r>
      <w:r w:rsidR="003D2361">
        <w:rPr>
          <w:noProof/>
        </w:rPr>
        <w:t xml:space="preserve">     if possible</w:t>
      </w:r>
      <w:r w:rsidR="00715563">
        <w:rPr>
          <w:noProof/>
        </w:rPr>
        <w:t xml:space="preserve">, I preefer the hoto </w:t>
      </w:r>
      <w:r w:rsidR="00C35C83">
        <w:rPr>
          <w:noProof/>
        </w:rPr>
        <w:t>w</w:t>
      </w:r>
      <w:r w:rsidR="00715563">
        <w:rPr>
          <w:noProof/>
        </w:rPr>
        <w:t xml:space="preserve">ith  </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C36E8D">
      <w:pPr>
        <w:spacing w:before="62"/>
        <w:ind w:left="4217" w:right="4235"/>
        <w:jc w:val="center"/>
        <w:rPr>
          <w:rFonts w:ascii="Minion Pro"/>
          <w:b/>
          <w:sz w:val="20"/>
        </w:rPr>
      </w:pPr>
      <w:r>
        <w:rPr>
          <w:rFonts w:ascii="Arial"/>
          <w:sz w:val="14"/>
        </w:rPr>
        <w:t xml:space="preserve">Email: </w:t>
      </w:r>
      <w:hyperlink r:id="rId12" w:history="1">
        <w:r w:rsidR="00C36E8D" w:rsidRPr="005A253E">
          <w:rPr>
            <w:rStyle w:val="Hyperlink"/>
            <w:rFonts w:ascii="Arial"/>
            <w:sz w:val="14"/>
          </w:rPr>
          <w:t>dtleye@gmail.com</w:t>
        </w:r>
      </w:hyperlink>
      <w:r w:rsidR="00292ED9">
        <w:rPr>
          <w:noProof/>
        </w:rPr>
        <mc:AlternateContent>
          <mc:Choice Requires="wps">
            <w:drawing>
              <wp:anchor distT="0" distB="0" distL="0" distR="0" simplePos="0" relativeHeight="1072" behindDoc="0" locked="0" layoutInCell="1" allowOverlap="1" wp14:anchorId="56735526" wp14:editId="21967E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C36E8D" w:rsidRPr="00F35A62" w:rsidRDefault="00EA7D51" w:rsidP="00C36E8D">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w:t>
      </w:r>
      <w:r w:rsidR="00C36E8D" w:rsidRPr="00F35A62">
        <w:rPr>
          <w:sz w:val="20"/>
          <w:szCs w:val="20"/>
          <w:lang w:val="en-NZ"/>
        </w:rPr>
        <w:t xml:space="preserve">name: </w:t>
      </w:r>
      <w:r w:rsidR="00C36E8D">
        <w:rPr>
          <w:sz w:val="20"/>
          <w:szCs w:val="20"/>
          <w:lang w:val="en-NZ"/>
        </w:rPr>
        <w:t xml:space="preserve"> </w:t>
      </w:r>
      <w:proofErr w:type="spellStart"/>
      <w:r w:rsidR="00C36E8D">
        <w:rPr>
          <w:sz w:val="20"/>
          <w:szCs w:val="20"/>
          <w:lang w:val="en-NZ"/>
        </w:rPr>
        <w:t>Dessalegn</w:t>
      </w:r>
      <w:proofErr w:type="spellEnd"/>
      <w:r w:rsidR="00C36E8D">
        <w:rPr>
          <w:sz w:val="20"/>
          <w:szCs w:val="20"/>
          <w:lang w:val="en-NZ"/>
        </w:rPr>
        <w:t xml:space="preserve"> </w:t>
      </w:r>
      <w:proofErr w:type="spellStart"/>
      <w:r w:rsidR="00C36E8D">
        <w:rPr>
          <w:sz w:val="20"/>
          <w:szCs w:val="20"/>
          <w:lang w:val="en-NZ"/>
        </w:rPr>
        <w:t>Temesgen</w:t>
      </w:r>
      <w:proofErr w:type="spellEnd"/>
      <w:r w:rsidR="00C36E8D">
        <w:rPr>
          <w:sz w:val="20"/>
          <w:szCs w:val="20"/>
          <w:lang w:val="en-NZ"/>
        </w:rPr>
        <w:t xml:space="preserve"> </w:t>
      </w:r>
      <w:proofErr w:type="spellStart"/>
      <w:r w:rsidR="00C36E8D">
        <w:rPr>
          <w:sz w:val="20"/>
          <w:szCs w:val="20"/>
          <w:lang w:val="en-NZ"/>
        </w:rPr>
        <w:t>Leye</w:t>
      </w:r>
      <w:proofErr w:type="spellEnd"/>
      <w:r w:rsidR="00C36E8D" w:rsidRPr="00F35A62">
        <w:rPr>
          <w:sz w:val="20"/>
          <w:szCs w:val="20"/>
          <w:lang w:val="en-NZ"/>
        </w:rPr>
        <w:br/>
        <w:t>Contact number:</w:t>
      </w:r>
      <w:r w:rsidR="00C36E8D">
        <w:rPr>
          <w:sz w:val="20"/>
          <w:szCs w:val="20"/>
          <w:lang w:val="en-NZ"/>
        </w:rPr>
        <w:t xml:space="preserve"> +251942908745</w:t>
      </w:r>
      <w:r w:rsidR="00C36E8D" w:rsidRPr="00F35A62">
        <w:rPr>
          <w:sz w:val="20"/>
          <w:szCs w:val="20"/>
          <w:lang w:val="en-NZ"/>
        </w:rPr>
        <w:br/>
        <w:t>Twitter account:</w:t>
      </w:r>
      <w:r w:rsidR="00C36E8D">
        <w:rPr>
          <w:sz w:val="20"/>
          <w:szCs w:val="20"/>
          <w:lang w:val="en-NZ"/>
        </w:rPr>
        <w:t xml:space="preserve"> @</w:t>
      </w:r>
      <w:proofErr w:type="spellStart"/>
      <w:r w:rsidR="00C36E8D">
        <w:rPr>
          <w:sz w:val="20"/>
          <w:szCs w:val="20"/>
          <w:lang w:val="en-NZ"/>
        </w:rPr>
        <w:t>dessalegn</w:t>
      </w:r>
      <w:r w:rsidR="00FA62DE">
        <w:rPr>
          <w:sz w:val="20"/>
          <w:szCs w:val="20"/>
          <w:lang w:val="en-NZ"/>
        </w:rPr>
        <w:t>TL</w:t>
      </w:r>
      <w:proofErr w:type="spellEnd"/>
      <w:r w:rsidR="00C36E8D" w:rsidRPr="00F35A62">
        <w:rPr>
          <w:sz w:val="20"/>
          <w:szCs w:val="20"/>
          <w:lang w:val="en-NZ"/>
        </w:rPr>
        <w:br/>
        <w:t>Linked In account:</w:t>
      </w:r>
      <w:r w:rsidR="00C36E8D">
        <w:rPr>
          <w:sz w:val="20"/>
          <w:szCs w:val="20"/>
          <w:lang w:val="en-NZ"/>
        </w:rPr>
        <w:t xml:space="preserve"> </w:t>
      </w:r>
    </w:p>
    <w:p w:rsidR="00FA62DE" w:rsidRPr="00FA62DE" w:rsidRDefault="00C36E8D" w:rsidP="00C36E8D">
      <w:pPr>
        <w:autoSpaceDE w:val="0"/>
        <w:autoSpaceDN w:val="0"/>
        <w:adjustRightInd w:val="0"/>
        <w:rPr>
          <w:sz w:val="20"/>
          <w:szCs w:val="20"/>
          <w:lang w:val="en-NZ"/>
        </w:rPr>
        <w:sectPr w:rsidR="00FA62DE" w:rsidRPr="00FA62DE" w:rsidSect="008E5477">
          <w:type w:val="continuous"/>
          <w:pgSz w:w="11910" w:h="16840"/>
          <w:pgMar w:top="995" w:right="600" w:bottom="840" w:left="620" w:header="720" w:footer="720" w:gutter="0"/>
          <w:cols w:space="720"/>
        </w:sectPr>
      </w:pPr>
      <w:r w:rsidRPr="00F35A62">
        <w:rPr>
          <w:sz w:val="20"/>
          <w:szCs w:val="20"/>
          <w:lang w:val="en-NZ"/>
        </w:rPr>
        <w:t>Se</w:t>
      </w:r>
      <w:r>
        <w:rPr>
          <w:sz w:val="20"/>
          <w:szCs w:val="20"/>
          <w:lang w:val="en-NZ"/>
        </w:rPr>
        <w:t xml:space="preserve">ssion name/ number: </w:t>
      </w:r>
      <w:r>
        <w:rPr>
          <w:sz w:val="20"/>
          <w:szCs w:val="20"/>
          <w:lang w:val="en-NZ"/>
        </w:rPr>
        <w:br/>
        <w:t xml:space="preserve">Category: </w:t>
      </w:r>
      <w:r w:rsidR="00FA62DE">
        <w:rPr>
          <w:sz w:val="20"/>
          <w:szCs w:val="20"/>
          <w:lang w:val="en-NZ"/>
        </w:rPr>
        <w:t>Oral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B73" w:rsidRDefault="003E6B73">
      <w:r>
        <w:separator/>
      </w:r>
    </w:p>
  </w:endnote>
  <w:endnote w:type="continuationSeparator" w:id="0">
    <w:p w:rsidR="003E6B73" w:rsidRDefault="003E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ala">
    <w:altName w:val="Times New Roman"/>
    <w:panose1 w:val="02000504070300020003"/>
    <w:charset w:val="00"/>
    <w:family w:val="auto"/>
    <w:pitch w:val="variable"/>
    <w:sig w:usb0="A000006F" w:usb1="00000000" w:usb2="00000800" w:usb3="00000000" w:csb0="00000093"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B73" w:rsidRDefault="003E6B73">
      <w:r>
        <w:separator/>
      </w:r>
    </w:p>
  </w:footnote>
  <w:footnote w:type="continuationSeparator" w:id="0">
    <w:p w:rsidR="003E6B73" w:rsidRDefault="003E6B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73F3B80"/>
    <w:multiLevelType w:val="hybridMultilevel"/>
    <w:tmpl w:val="906E633A"/>
    <w:lvl w:ilvl="0" w:tplc="1AAC8574">
      <w:start w:val="1"/>
      <w:numFmt w:val="decimal"/>
      <w:lvlText w:val="%1."/>
      <w:lvlJc w:val="left"/>
      <w:pPr>
        <w:ind w:left="720" w:hanging="360"/>
      </w:pPr>
      <w:rPr>
        <w:rFonts w:ascii="Nyala" w:eastAsia="Calibri" w:hAnsi="Nyal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17B07"/>
    <w:rsid w:val="00292ED9"/>
    <w:rsid w:val="00351D9B"/>
    <w:rsid w:val="00380299"/>
    <w:rsid w:val="003D2361"/>
    <w:rsid w:val="003E6B73"/>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15563"/>
    <w:rsid w:val="00873DF0"/>
    <w:rsid w:val="008756E6"/>
    <w:rsid w:val="00897EC5"/>
    <w:rsid w:val="008A0763"/>
    <w:rsid w:val="008E5477"/>
    <w:rsid w:val="009B2D44"/>
    <w:rsid w:val="00A07E82"/>
    <w:rsid w:val="00A52075"/>
    <w:rsid w:val="00A86763"/>
    <w:rsid w:val="00A9710C"/>
    <w:rsid w:val="00AE3E37"/>
    <w:rsid w:val="00B21A57"/>
    <w:rsid w:val="00BE6743"/>
    <w:rsid w:val="00C33602"/>
    <w:rsid w:val="00C35C83"/>
    <w:rsid w:val="00C36E8D"/>
    <w:rsid w:val="00C56C74"/>
    <w:rsid w:val="00C6032C"/>
    <w:rsid w:val="00CD6F55"/>
    <w:rsid w:val="00DE3104"/>
    <w:rsid w:val="00DE6170"/>
    <w:rsid w:val="00E30AAC"/>
    <w:rsid w:val="00E53115"/>
    <w:rsid w:val="00E95D97"/>
    <w:rsid w:val="00EA7D51"/>
    <w:rsid w:val="00F046EA"/>
    <w:rsid w:val="00F312EA"/>
    <w:rsid w:val="00F35A62"/>
    <w:rsid w:val="00F72EEA"/>
    <w:rsid w:val="00F8223C"/>
    <w:rsid w:val="00F84CAE"/>
    <w:rsid w:val="00FA41DE"/>
    <w:rsid w:val="00FA62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y2iqfc">
    <w:name w:val="y2iqfc"/>
    <w:basedOn w:val="DefaultParagraphFont"/>
    <w:rsid w:val="00217B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y2iqfc">
    <w:name w:val="y2iqfc"/>
    <w:basedOn w:val="DefaultParagraphFont"/>
    <w:rsid w:val="00217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tley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journalijis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Smart2</cp:lastModifiedBy>
  <cp:revision>2</cp:revision>
  <dcterms:created xsi:type="dcterms:W3CDTF">2022-12-06T12:10:00Z</dcterms:created>
  <dcterms:modified xsi:type="dcterms:W3CDTF">2022-12-06T12:10:00Z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