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12A" w:rsidRDefault="009A612A" w:rsidP="009A612A">
      <w:pPr>
        <w:pStyle w:val="Heading2"/>
        <w:spacing w:before="120" w:line="288" w:lineRule="auto"/>
      </w:pPr>
      <w:bookmarkStart w:id="0" w:name="_GoBack"/>
      <w:bookmarkEnd w:id="0"/>
      <w:r>
        <w:t>Numerical analysis of MHD combined</w:t>
      </w:r>
      <w:r w:rsidRPr="00DB5D35">
        <w:t xml:space="preserve"> convective nanofluid flow in a lid driven enclosure</w:t>
      </w:r>
      <w:r>
        <w:t xml:space="preserve"> equipped</w:t>
      </w:r>
      <w:r w:rsidRPr="00DB5D35">
        <w:t xml:space="preserve"> with </w:t>
      </w:r>
      <w:r>
        <w:t xml:space="preserve">corrugated </w:t>
      </w:r>
      <w:r w:rsidRPr="00DB5D35">
        <w:t>boundary</w:t>
      </w:r>
      <w:r>
        <w:t xml:space="preserve"> and</w:t>
      </w:r>
      <w:r w:rsidRPr="00DB5D35">
        <w:t xml:space="preserve"> internal heat source</w:t>
      </w:r>
    </w:p>
    <w:p w:rsidR="009A612A" w:rsidRDefault="009A612A" w:rsidP="00DE0435">
      <w:pPr>
        <w:spacing w:after="0" w:line="240" w:lineRule="auto"/>
      </w:pPr>
      <w:r>
        <w:t>K</w:t>
      </w:r>
      <w:r w:rsidR="00DE0435">
        <w:t>akali</w:t>
      </w:r>
      <w:r>
        <w:t xml:space="preserve"> Chowdhury</w:t>
      </w:r>
      <w:r w:rsidR="005032BF">
        <w:rPr>
          <w:vertAlign w:val="superscript"/>
        </w:rPr>
        <w:t>1,2</w:t>
      </w:r>
      <w:r>
        <w:t>, M</w:t>
      </w:r>
      <w:r w:rsidR="00DE0435">
        <w:t>d.</w:t>
      </w:r>
      <w:r>
        <w:t xml:space="preserve"> A</w:t>
      </w:r>
      <w:r w:rsidR="00DE0435">
        <w:t>bdul</w:t>
      </w:r>
      <w:r>
        <w:t xml:space="preserve"> Alim</w:t>
      </w:r>
      <w:r w:rsidR="005032BF">
        <w:rPr>
          <w:vertAlign w:val="superscript"/>
        </w:rPr>
        <w:t>2</w:t>
      </w:r>
    </w:p>
    <w:p w:rsidR="005032BF" w:rsidRPr="005032BF" w:rsidRDefault="005032BF" w:rsidP="00DE0435">
      <w:pPr>
        <w:spacing w:after="0" w:line="240" w:lineRule="auto"/>
      </w:pPr>
      <w:r>
        <w:rPr>
          <w:vertAlign w:val="superscript"/>
        </w:rPr>
        <w:t>1</w:t>
      </w:r>
      <w:r>
        <w:t>Presidency University, Gulshan-2, Dhaka, Bangladesh</w:t>
      </w:r>
    </w:p>
    <w:p w:rsidR="009A612A" w:rsidRPr="009A612A" w:rsidRDefault="005032BF" w:rsidP="00DE0435">
      <w:pPr>
        <w:spacing w:after="0" w:line="240" w:lineRule="auto"/>
      </w:pPr>
      <w:r>
        <w:rPr>
          <w:vertAlign w:val="superscript"/>
        </w:rPr>
        <w:t>2</w:t>
      </w:r>
      <w:r w:rsidR="009A612A">
        <w:t>Bangladesh University of Engineering and Technology</w:t>
      </w:r>
      <w:r w:rsidR="00DE0435">
        <w:t>, Dhaka-1000, Bangladesh</w:t>
      </w:r>
    </w:p>
    <w:p w:rsidR="009A612A" w:rsidRPr="00D13EBF" w:rsidRDefault="009A612A" w:rsidP="009A612A">
      <w:pPr>
        <w:pStyle w:val="Heading3"/>
        <w:spacing w:before="240"/>
        <w:rPr>
          <w:color w:val="ED7D31" w:themeColor="accent2"/>
        </w:rPr>
      </w:pPr>
      <w:r w:rsidRPr="00D13EBF">
        <w:rPr>
          <w:color w:val="ED7D31" w:themeColor="accent2"/>
        </w:rPr>
        <w:t>Abstract</w:t>
      </w:r>
    </w:p>
    <w:p w:rsidR="009A612A" w:rsidRPr="00613012" w:rsidRDefault="009A612A" w:rsidP="00DE0435">
      <w:pPr>
        <w:pStyle w:val="Text"/>
        <w:rPr>
          <w:rFonts w:eastAsiaTheme="minorEastAsia" w:cs="Times New Roman"/>
        </w:rPr>
      </w:pPr>
      <w:r w:rsidRPr="008315AC">
        <w:t xml:space="preserve">The problem of MHD combined convection is analyzed in a lid driven enclosure with </w:t>
      </w:r>
      <w:r>
        <w:t>corrugated</w:t>
      </w:r>
      <w:r w:rsidRPr="008315AC">
        <w:t xml:space="preserve"> wavy </w:t>
      </w:r>
      <w:r>
        <w:t>bottom wall</w:t>
      </w:r>
      <w:r w:rsidRPr="008315AC">
        <w:t xml:space="preserve"> filled with </w:t>
      </w:r>
      <m:oMath>
        <m:r>
          <w:rPr>
            <w:rFonts w:ascii="Cambria Math" w:hAnsi="Cambria Math"/>
          </w:rPr>
          <m:t>Cu-</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oMath>
      <w:r w:rsidRPr="008315AC">
        <w:rPr>
          <w:rFonts w:eastAsiaTheme="minorEastAsia"/>
        </w:rPr>
        <w:t xml:space="preserve"> nanofluid</w:t>
      </w:r>
      <w:r w:rsidRPr="008315AC">
        <w:t xml:space="preserve"> in presence of internal heat source. The top and right walls of the enclosure are</w:t>
      </w:r>
      <w:r w:rsidRPr="008315AC">
        <w:rPr>
          <w:rFonts w:eastAsiaTheme="minorEastAsia"/>
        </w:rPr>
        <w:t xml:space="preserve"> maintained with a uniform cold temperature </w:t>
      </w:r>
      <m:oMath>
        <m:sSub>
          <m:sSubPr>
            <m:ctrlPr>
              <w:rPr>
                <w:rFonts w:ascii="Cambria Math" w:hAnsi="Cambria Math"/>
                <w:i/>
              </w:rPr>
            </m:ctrlPr>
          </m:sSubPr>
          <m:e>
            <m:r>
              <w:rPr>
                <w:rFonts w:ascii="Cambria Math" w:hAnsi="Cambria Math"/>
              </w:rPr>
              <m:t>T</m:t>
            </m:r>
          </m:e>
          <m:sub>
            <m:r>
              <w:rPr>
                <w:rFonts w:ascii="Cambria Math" w:hAnsi="Cambria Math"/>
              </w:rPr>
              <m:t>c</m:t>
            </m:r>
          </m:sub>
        </m:sSub>
      </m:oMath>
      <w:r w:rsidRPr="008315AC">
        <w:rPr>
          <w:rFonts w:eastAsiaTheme="minorEastAsia"/>
        </w:rPr>
        <w:t xml:space="preserve"> whereas the left wall and bottom wavy wall are kept adiabatic. T</w:t>
      </w:r>
      <w:r w:rsidRPr="008315AC">
        <w:t>he top wall is moving with a constant velocity upon its lid and a rectangular heat source is placed horizontally inside the enclosure. The physical problems are characterized by 2D governing partial differential equations along with proper boundary conditions and are discretized using Galerkin’s finite element formulation. The study is executed by analyzing different ranges of geometrical and physical parameters namely, the ratio of heat source and cavity height (</w:t>
      </w:r>
      <m:oMath>
        <m:r>
          <w:rPr>
            <w:rFonts w:ascii="Cambria Math" w:hAnsi="Cambria Math"/>
          </w:rPr>
          <m:t>0.05≤a/H≤0.2)</m:t>
        </m:r>
      </m:oMath>
      <w:r w:rsidRPr="008315AC">
        <w:rPr>
          <w:rFonts w:eastAsiaTheme="minorEastAsia"/>
        </w:rPr>
        <w:t>, volume fraction of nanoparticles</w:t>
      </w:r>
      <m:oMath>
        <m:r>
          <w:rPr>
            <w:rFonts w:ascii="Cambria Math" w:eastAsiaTheme="minorEastAsia" w:hAnsi="Cambria Math"/>
          </w:rPr>
          <m:t>(0≤φ≤0.09)</m:t>
        </m:r>
      </m:oMath>
      <w:r w:rsidRPr="008315AC">
        <w:rPr>
          <w:rFonts w:eastAsiaTheme="minorEastAsia"/>
        </w:rPr>
        <w:t xml:space="preserve">, </w:t>
      </w:r>
      <w:r w:rsidRPr="008100D3">
        <w:rPr>
          <w:rFonts w:eastAsiaTheme="minorEastAsia"/>
        </w:rPr>
        <w:t xml:space="preserve">Hartmann number </w:t>
      </w:r>
      <m:oMath>
        <m:r>
          <w:rPr>
            <w:rFonts w:ascii="Cambria Math" w:eastAsiaTheme="minorEastAsia" w:hAnsi="Cambria Math"/>
          </w:rPr>
          <m:t>(0≤Ha≤90)</m:t>
        </m:r>
      </m:oMath>
      <w:r w:rsidRPr="008100D3">
        <w:rPr>
          <w:rFonts w:eastAsiaTheme="minorEastAsia"/>
        </w:rPr>
        <w:t xml:space="preserve"> and Richardson number</w:t>
      </w:r>
      <w:r w:rsidR="005032BF">
        <w:rPr>
          <w:rFonts w:eastAsiaTheme="minorEastAsia"/>
        </w:rPr>
        <w:t xml:space="preserve"> </w:t>
      </w:r>
      <m:oMath>
        <m:r>
          <w:rPr>
            <w:rFonts w:ascii="Cambria Math" w:eastAsiaTheme="minorEastAsia" w:hAnsi="Cambria Math"/>
          </w:rPr>
          <m:t>(0.1≤Ri≤10)</m:t>
        </m:r>
      </m:oMath>
      <w:r w:rsidRPr="008100D3">
        <w:rPr>
          <w:rFonts w:eastAsiaTheme="minorEastAsia"/>
        </w:rPr>
        <w:t xml:space="preserve">. The numerical results show that, </w:t>
      </w:r>
      <w:r>
        <w:rPr>
          <w:rFonts w:eastAsiaTheme="minorEastAsia" w:cs="Times New Roman"/>
        </w:rPr>
        <w:t>i</w:t>
      </w:r>
      <w:r w:rsidRPr="00150160">
        <w:rPr>
          <w:rFonts w:eastAsiaTheme="minorEastAsia" w:cs="Times New Roman"/>
        </w:rPr>
        <w:t>n the combined convection region</w:t>
      </w:r>
      <w:r w:rsidR="00DE0435">
        <w:rPr>
          <w:rFonts w:eastAsiaTheme="minorEastAsia" w:cs="Times New Roman"/>
        </w:rPr>
        <w:t xml:space="preserve">. </w:t>
      </w:r>
      <w:r>
        <w:rPr>
          <w:rFonts w:eastAsiaTheme="minorEastAsia" w:cs="Times New Roman"/>
        </w:rPr>
        <w:t>I</w:t>
      </w:r>
      <w:r w:rsidRPr="00150160">
        <w:rPr>
          <w:rFonts w:eastAsiaTheme="minorEastAsia" w:cs="Times New Roman"/>
        </w:rPr>
        <w:t>n absence of magnetic field</w:t>
      </w:r>
      <w:r>
        <w:rPr>
          <w:rFonts w:eastAsiaTheme="minorEastAsia" w:cs="Times New Roman"/>
        </w:rPr>
        <w:t>, h</w:t>
      </w:r>
      <w:r w:rsidRPr="00150160">
        <w:rPr>
          <w:rFonts w:eastAsiaTheme="minorEastAsia" w:cs="Times New Roman"/>
        </w:rPr>
        <w:t xml:space="preserve">eat transfer rate decreases approximately 3%, 9% and 24% with the increasing value of the ratio (heat source height and cavity height) from </w:t>
      </w:r>
      <m:oMath>
        <m:r>
          <w:rPr>
            <w:rFonts w:ascii="Cambria Math" w:hAnsi="Cambria Math" w:cs="Times New Roman"/>
          </w:rPr>
          <m:t xml:space="preserve">0.05 </m:t>
        </m:r>
        <m:r>
          <m:rPr>
            <m:sty m:val="p"/>
          </m:rPr>
          <w:rPr>
            <w:rFonts w:ascii="Cambria Math" w:hAnsi="Cambria Math" w:cs="Times New Roman"/>
          </w:rPr>
          <m:t>to</m:t>
        </m:r>
        <m:r>
          <w:rPr>
            <w:rFonts w:ascii="Cambria Math" w:hAnsi="Cambria Math" w:cs="Times New Roman"/>
          </w:rPr>
          <m:t xml:space="preserve"> 0.07, 0.1 </m:t>
        </m:r>
        <m:r>
          <m:rPr>
            <m:sty m:val="p"/>
          </m:rPr>
          <w:rPr>
            <w:rFonts w:ascii="Cambria Math" w:hAnsi="Cambria Math" w:cs="Times New Roman"/>
          </w:rPr>
          <m:t xml:space="preserve">and </m:t>
        </m:r>
        <m:r>
          <w:rPr>
            <w:rFonts w:ascii="Cambria Math" w:hAnsi="Cambria Math" w:cs="Times New Roman"/>
          </w:rPr>
          <m:t>0.2</m:t>
        </m:r>
      </m:oMath>
      <w:r w:rsidRPr="00150160">
        <w:rPr>
          <w:rFonts w:eastAsiaTheme="minorEastAsia" w:cs="Times New Roman"/>
        </w:rPr>
        <w:t xml:space="preserve"> </w:t>
      </w:r>
      <w:r>
        <w:rPr>
          <w:rFonts w:eastAsiaTheme="minorEastAsia" w:cs="Times New Roman"/>
        </w:rPr>
        <w:t>respectively.</w:t>
      </w:r>
      <w:r w:rsidR="00DE0435">
        <w:rPr>
          <w:rFonts w:eastAsiaTheme="minorEastAsia" w:cs="Times New Roman"/>
        </w:rPr>
        <w:t xml:space="preserve"> </w:t>
      </w:r>
      <w:r w:rsidRPr="00613012">
        <w:rPr>
          <w:rFonts w:eastAsiaTheme="minorEastAsia" w:cs="Times New Roman"/>
        </w:rPr>
        <w:t xml:space="preserve">In comparison with flat wall, </w:t>
      </w:r>
      <w:r>
        <w:rPr>
          <w:rFonts w:eastAsiaTheme="minorEastAsia" w:cs="Times New Roman"/>
        </w:rPr>
        <w:t>h</w:t>
      </w:r>
      <w:r w:rsidRPr="00613012">
        <w:rPr>
          <w:rFonts w:eastAsiaTheme="minorEastAsia" w:cs="Times New Roman"/>
        </w:rPr>
        <w:t>eat transfer rate increases about 9% and 16% respectively with the increasing wave numbe</w:t>
      </w:r>
      <w:r>
        <w:rPr>
          <w:rFonts w:eastAsiaTheme="minorEastAsia" w:cs="Times New Roman"/>
        </w:rPr>
        <w:t>r of corrugated wall to 2 and 4.</w:t>
      </w:r>
      <w:r w:rsidR="00DE0435">
        <w:rPr>
          <w:rFonts w:eastAsiaTheme="minorEastAsia" w:cs="Times New Roman"/>
        </w:rPr>
        <w:t xml:space="preserve"> </w:t>
      </w:r>
      <w:r>
        <w:rPr>
          <w:rFonts w:eastAsiaTheme="minorEastAsia" w:cs="Times New Roman"/>
        </w:rPr>
        <w:t>Heat transfer rate increases about 8% and 16% and 25% respectively with the increasing value of volume fraction 3%, 6% and 9% respectively in comparison with base fluid.</w:t>
      </w:r>
      <w:r w:rsidR="00DE0435">
        <w:rPr>
          <w:rFonts w:eastAsiaTheme="minorEastAsia" w:cs="Times New Roman"/>
        </w:rPr>
        <w:t xml:space="preserve"> </w:t>
      </w:r>
      <w:r>
        <w:rPr>
          <w:rFonts w:eastAsiaTheme="minorEastAsia"/>
        </w:rPr>
        <w:t>H</w:t>
      </w:r>
      <w:r w:rsidRPr="00613012">
        <w:rPr>
          <w:rFonts w:eastAsiaTheme="minorEastAsia"/>
        </w:rPr>
        <w:t xml:space="preserve">eat transfer rate starts to decline with </w:t>
      </w:r>
      <w:r>
        <w:rPr>
          <w:rFonts w:eastAsiaTheme="minorEastAsia"/>
        </w:rPr>
        <w:t xml:space="preserve">the </w:t>
      </w:r>
      <w:r w:rsidRPr="00613012">
        <w:rPr>
          <w:rFonts w:eastAsiaTheme="minorEastAsia"/>
        </w:rPr>
        <w:t xml:space="preserve">instigation of magnetic field. </w:t>
      </w:r>
      <w:r>
        <w:rPr>
          <w:rFonts w:eastAsiaTheme="minorEastAsia"/>
        </w:rPr>
        <w:t>I</w:t>
      </w:r>
      <w:r w:rsidRPr="00613012">
        <w:rPr>
          <w:rFonts w:eastAsiaTheme="minorEastAsia" w:cs="Times New Roman"/>
        </w:rPr>
        <w:t xml:space="preserve">t decreases approximately 26% and 53% with the increasing value of </w:t>
      </w:r>
      <m:oMath>
        <m:r>
          <w:rPr>
            <w:rFonts w:ascii="Cambria Math" w:eastAsiaTheme="minorEastAsia" w:hAnsi="Cambria Math" w:cs="Times New Roman"/>
          </w:rPr>
          <m:t>Ha</m:t>
        </m:r>
      </m:oMath>
      <w:r w:rsidRPr="00613012">
        <w:rPr>
          <w:rFonts w:eastAsiaTheme="minorEastAsia" w:cs="Times New Roman"/>
        </w:rPr>
        <w:t xml:space="preserve"> from 0 to 30 and 60 respectively.</w:t>
      </w:r>
    </w:p>
    <w:p w:rsidR="00DD3CD0" w:rsidRDefault="00DD3CD0"/>
    <w:p w:rsidR="00DE0435" w:rsidRDefault="00DE0435"/>
    <w:p w:rsidR="00F24651" w:rsidRDefault="00F24651"/>
    <w:p w:rsidR="00F24651" w:rsidRDefault="00F24651"/>
    <w:p w:rsidR="00F24651" w:rsidRDefault="00F24651"/>
    <w:p w:rsidR="00F24651" w:rsidRDefault="00F24651" w:rsidP="00D13EBF">
      <w:pPr>
        <w:jc w:val="center"/>
      </w:pPr>
      <w:r w:rsidRPr="00F24651">
        <w:rPr>
          <w:noProof/>
        </w:rPr>
        <w:drawing>
          <wp:inline distT="0" distB="0" distL="0" distR="0" wp14:anchorId="5D21532A" wp14:editId="739FF6F4">
            <wp:extent cx="3864334" cy="301752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64334" cy="3017520"/>
                    </a:xfrm>
                    <a:prstGeom prst="rect">
                      <a:avLst/>
                    </a:prstGeom>
                  </pic:spPr>
                </pic:pic>
              </a:graphicData>
            </a:graphic>
          </wp:inline>
        </w:drawing>
      </w:r>
    </w:p>
    <w:p w:rsidR="00D13EBF" w:rsidRDefault="00D13EBF" w:rsidP="00D13EBF">
      <w:pPr>
        <w:jc w:val="center"/>
      </w:pPr>
      <w:r>
        <w:t>Figure 1: Schematic diagram with co-ordinate system</w:t>
      </w:r>
    </w:p>
    <w:p w:rsidR="00F24651" w:rsidRPr="00D13EBF" w:rsidRDefault="00F24651">
      <w:pPr>
        <w:rPr>
          <w:b/>
          <w:color w:val="ED7D31" w:themeColor="accent2"/>
          <w:sz w:val="28"/>
          <w:szCs w:val="28"/>
        </w:rPr>
      </w:pPr>
      <w:r w:rsidRPr="00D13EBF">
        <w:rPr>
          <w:b/>
          <w:color w:val="ED7D31" w:themeColor="accent2"/>
          <w:sz w:val="28"/>
          <w:szCs w:val="28"/>
        </w:rPr>
        <w:t>Recent Publications:</w:t>
      </w:r>
    </w:p>
    <w:p w:rsidR="00D13EBF" w:rsidRPr="00D13EBF" w:rsidRDefault="00D13EBF" w:rsidP="00D13EBF">
      <w:pPr>
        <w:autoSpaceDE w:val="0"/>
        <w:autoSpaceDN w:val="0"/>
        <w:adjustRightInd w:val="0"/>
        <w:spacing w:after="0" w:line="360" w:lineRule="auto"/>
        <w:ind w:left="720" w:hanging="720"/>
        <w:jc w:val="both"/>
        <w:rPr>
          <w:rFonts w:ascii="Times New Roman" w:hAnsi="Times New Roman" w:cs="TimesNewRoman"/>
          <w:color w:val="000000"/>
          <w:sz w:val="24"/>
          <w:szCs w:val="24"/>
          <w:shd w:val="clear" w:color="auto" w:fill="FFFFFF"/>
        </w:rPr>
      </w:pPr>
      <w:r w:rsidRPr="00D13EBF">
        <w:rPr>
          <w:rFonts w:ascii="Times New Roman" w:hAnsi="Times New Roman" w:cs="TimesNewRoman"/>
          <w:sz w:val="24"/>
          <w:szCs w:val="24"/>
          <w:shd w:val="clear" w:color="auto" w:fill="FFFFFF"/>
        </w:rPr>
        <w:t>[1]</w:t>
      </w:r>
      <w:r w:rsidRPr="00D13EBF">
        <w:rPr>
          <w:rFonts w:ascii="Times New Roman" w:hAnsi="Times New Roman" w:cs="TimesNewRoman"/>
          <w:sz w:val="24"/>
          <w:szCs w:val="24"/>
          <w:shd w:val="clear" w:color="auto" w:fill="FFFFFF"/>
        </w:rPr>
        <w:tab/>
        <w:t xml:space="preserve">K. Chowdhury, M.A. Alim, Mixed convection in a double lid-driven wavy shaped cavity filled with nanofluid subject to magnetic field and internal heat source, Journal of Applied Mathematics, Hindawi, </w:t>
      </w:r>
      <w:r w:rsidRPr="00D13EBF">
        <w:rPr>
          <w:rFonts w:ascii="Times New Roman" w:hAnsi="Times New Roman" w:cs="TimesNewRoman"/>
          <w:color w:val="000000"/>
          <w:sz w:val="24"/>
          <w:szCs w:val="24"/>
          <w:shd w:val="clear" w:color="auto" w:fill="FFFFFF"/>
        </w:rPr>
        <w:t>vol. 2023 |Article ID 7117186| </w:t>
      </w:r>
    </w:p>
    <w:p w:rsidR="00D13EBF" w:rsidRPr="00D13EBF" w:rsidRDefault="00C72E39" w:rsidP="00D13EBF">
      <w:pPr>
        <w:autoSpaceDE w:val="0"/>
        <w:autoSpaceDN w:val="0"/>
        <w:adjustRightInd w:val="0"/>
        <w:spacing w:after="0" w:line="360" w:lineRule="auto"/>
        <w:ind w:firstLine="720"/>
        <w:jc w:val="both"/>
        <w:rPr>
          <w:rFonts w:ascii="Times New Roman" w:hAnsi="Times New Roman" w:cs="TimesNewRoman"/>
          <w:color w:val="3333FF"/>
          <w:sz w:val="24"/>
          <w:szCs w:val="24"/>
          <w:u w:val="single"/>
        </w:rPr>
      </w:pPr>
      <w:hyperlink r:id="rId7" w:tgtFrame="_blank" w:history="1">
        <w:r w:rsidR="00D13EBF" w:rsidRPr="00D13EBF">
          <w:rPr>
            <w:rFonts w:ascii="Times New Roman" w:hAnsi="Times New Roman" w:cs="TimesNewRoman"/>
            <w:color w:val="3333FF"/>
            <w:sz w:val="24"/>
            <w:szCs w:val="24"/>
            <w:u w:val="single"/>
          </w:rPr>
          <w:t>https://doi.org/10.1155/2023/7117186</w:t>
        </w:r>
      </w:hyperlink>
    </w:p>
    <w:p w:rsidR="00D13EBF" w:rsidRPr="00D13EBF" w:rsidRDefault="00D13EBF" w:rsidP="00D13EBF">
      <w:pPr>
        <w:autoSpaceDE w:val="0"/>
        <w:autoSpaceDN w:val="0"/>
        <w:adjustRightInd w:val="0"/>
        <w:spacing w:after="0" w:line="360" w:lineRule="auto"/>
        <w:ind w:left="720" w:hanging="720"/>
        <w:jc w:val="both"/>
        <w:rPr>
          <w:rFonts w:ascii="Times New Roman" w:hAnsi="Times New Roman" w:cs="TimesNewRoman"/>
          <w:sz w:val="24"/>
          <w:szCs w:val="24"/>
        </w:rPr>
      </w:pPr>
      <w:r w:rsidRPr="00D13EBF">
        <w:rPr>
          <w:rFonts w:ascii="Times New Roman" w:hAnsi="Times New Roman" w:cs="TimesNewRoman"/>
          <w:bCs/>
          <w:sz w:val="24"/>
          <w:szCs w:val="24"/>
        </w:rPr>
        <w:t>[2]</w:t>
      </w:r>
      <w:r w:rsidRPr="00D13EBF">
        <w:rPr>
          <w:rFonts w:ascii="Times New Roman" w:hAnsi="Times New Roman" w:cs="TimesNewRoman"/>
          <w:bCs/>
          <w:sz w:val="24"/>
          <w:szCs w:val="24"/>
        </w:rPr>
        <w:tab/>
        <w:t>K. Chowdhury, A. Alim, M. Hossen, Natural convection in a partially heated and cooled square enclosure containing a diamond shaped heated block, International Journal of Fluid Mechanics &amp; Thermal Sciences, v</w:t>
      </w:r>
      <w:r w:rsidRPr="00D13EBF">
        <w:rPr>
          <w:rFonts w:ascii="Times New Roman" w:hAnsi="Times New Roman" w:cs="TimesNewRoman"/>
          <w:sz w:val="24"/>
          <w:szCs w:val="24"/>
        </w:rPr>
        <w:t>ol. 6(1), pp. 1-8, 2020.</w:t>
      </w:r>
    </w:p>
    <w:p w:rsidR="00D13EBF" w:rsidRPr="00D13EBF" w:rsidRDefault="00D13EBF" w:rsidP="00D13EBF">
      <w:pPr>
        <w:autoSpaceDE w:val="0"/>
        <w:autoSpaceDN w:val="0"/>
        <w:adjustRightInd w:val="0"/>
        <w:spacing w:after="0" w:line="360" w:lineRule="auto"/>
        <w:jc w:val="both"/>
        <w:rPr>
          <w:rFonts w:ascii="Times New Roman" w:hAnsi="Times New Roman" w:cs="TimesNewRoman"/>
          <w:bCs/>
          <w:sz w:val="24"/>
          <w:szCs w:val="24"/>
        </w:rPr>
      </w:pPr>
      <w:r w:rsidRPr="00D13EBF">
        <w:rPr>
          <w:rFonts w:ascii="Times New Roman" w:hAnsi="Times New Roman" w:cs="Arial"/>
          <w:color w:val="333333"/>
          <w:sz w:val="24"/>
          <w:szCs w:val="24"/>
        </w:rPr>
        <w:tab/>
        <w:t>doi: 10.11648/j.ijfmts.20200601.11</w:t>
      </w:r>
      <w:r w:rsidRPr="00D13EBF">
        <w:rPr>
          <w:rFonts w:ascii="Times New Roman" w:hAnsi="Times New Roman" w:cs="TimesNewRoman"/>
          <w:bCs/>
          <w:sz w:val="24"/>
          <w:szCs w:val="24"/>
        </w:rPr>
        <w:t xml:space="preserve"> </w:t>
      </w:r>
    </w:p>
    <w:p w:rsidR="00D13EBF" w:rsidRPr="00D13EBF" w:rsidRDefault="00D13EBF" w:rsidP="00D13EBF">
      <w:pPr>
        <w:autoSpaceDE w:val="0"/>
        <w:autoSpaceDN w:val="0"/>
        <w:adjustRightInd w:val="0"/>
        <w:spacing w:after="0" w:line="360" w:lineRule="auto"/>
        <w:ind w:left="720" w:hanging="720"/>
        <w:jc w:val="both"/>
        <w:rPr>
          <w:rFonts w:ascii="Times New Roman" w:hAnsi="Times New Roman" w:cs="TimesNewRoman"/>
          <w:bCs/>
          <w:sz w:val="24"/>
          <w:szCs w:val="24"/>
        </w:rPr>
      </w:pPr>
      <w:r w:rsidRPr="00D13EBF">
        <w:rPr>
          <w:rFonts w:ascii="Times New Roman" w:hAnsi="Times New Roman" w:cs="TimesNewRoman"/>
          <w:bCs/>
          <w:sz w:val="24"/>
          <w:szCs w:val="24"/>
        </w:rPr>
        <w:t>[3]</w:t>
      </w:r>
      <w:r w:rsidRPr="00D13EBF">
        <w:rPr>
          <w:rFonts w:ascii="Times New Roman" w:hAnsi="Times New Roman" w:cs="TimesNewRoman"/>
          <w:bCs/>
          <w:sz w:val="24"/>
          <w:szCs w:val="24"/>
        </w:rPr>
        <w:tab/>
        <w:t>K. Chowdhury, A. Alim, MHD m</w:t>
      </w:r>
      <w:r w:rsidRPr="00D13EBF">
        <w:rPr>
          <w:rFonts w:ascii="Times New Roman" w:hAnsi="Times New Roman" w:cs="TimesNewRoman"/>
          <w:sz w:val="24"/>
          <w:szCs w:val="24"/>
        </w:rPr>
        <w:t xml:space="preserve">ixed convection flow in a lid driven enclosure with a sinusoidal wavy wall and a heated circular body, </w:t>
      </w:r>
      <w:r w:rsidRPr="00D13EBF">
        <w:rPr>
          <w:rFonts w:ascii="Times New Roman" w:hAnsi="Times New Roman" w:cs="TimesNewRoman"/>
          <w:bCs/>
          <w:sz w:val="24"/>
          <w:szCs w:val="24"/>
        </w:rPr>
        <w:t>International Journal of Fluid Mechanics &amp; Thermal Sciences, v</w:t>
      </w:r>
      <w:r w:rsidRPr="00D13EBF">
        <w:rPr>
          <w:rFonts w:ascii="Times New Roman" w:hAnsi="Times New Roman" w:cs="TimesNewRoman"/>
          <w:sz w:val="24"/>
          <w:szCs w:val="24"/>
        </w:rPr>
        <w:t>ol. 5(4), pp. 102-110, 2019.</w:t>
      </w:r>
    </w:p>
    <w:p w:rsidR="00D13EBF" w:rsidRPr="00D13EBF" w:rsidRDefault="00D13EBF" w:rsidP="00D13EBF">
      <w:pPr>
        <w:autoSpaceDE w:val="0"/>
        <w:autoSpaceDN w:val="0"/>
        <w:adjustRightInd w:val="0"/>
        <w:spacing w:after="0" w:line="360" w:lineRule="auto"/>
        <w:ind w:firstLine="720"/>
        <w:jc w:val="both"/>
        <w:rPr>
          <w:rFonts w:ascii="Times New Roman" w:hAnsi="Times New Roman" w:cs="Arial"/>
          <w:color w:val="333333"/>
          <w:sz w:val="24"/>
          <w:szCs w:val="24"/>
        </w:rPr>
      </w:pPr>
      <w:r w:rsidRPr="00D13EBF">
        <w:rPr>
          <w:rFonts w:ascii="Times New Roman" w:hAnsi="Times New Roman" w:cs="Arial"/>
          <w:color w:val="333333"/>
          <w:sz w:val="24"/>
          <w:szCs w:val="24"/>
        </w:rPr>
        <w:t>doi: 10.11648/j.ijfmts.20190504.13</w:t>
      </w:r>
    </w:p>
    <w:p w:rsidR="00D13EBF" w:rsidRPr="00D13EBF" w:rsidRDefault="00D13EBF" w:rsidP="00D13EBF">
      <w:pPr>
        <w:autoSpaceDE w:val="0"/>
        <w:autoSpaceDN w:val="0"/>
        <w:adjustRightInd w:val="0"/>
        <w:spacing w:after="0" w:line="360" w:lineRule="auto"/>
        <w:ind w:left="720" w:hanging="672"/>
        <w:jc w:val="both"/>
        <w:rPr>
          <w:rFonts w:ascii="Times New Roman" w:hAnsi="Times New Roman" w:cs="TimesNewRoman"/>
          <w:sz w:val="24"/>
          <w:szCs w:val="24"/>
        </w:rPr>
      </w:pPr>
      <w:r w:rsidRPr="00D13EBF">
        <w:rPr>
          <w:rFonts w:ascii="Times New Roman" w:hAnsi="Times New Roman" w:cs="TimesNewRoman"/>
          <w:sz w:val="24"/>
          <w:szCs w:val="24"/>
        </w:rPr>
        <w:t>[4]</w:t>
      </w:r>
      <w:r w:rsidRPr="00D13EBF">
        <w:rPr>
          <w:rFonts w:ascii="Times New Roman" w:hAnsi="Times New Roman" w:cs="TimesNewRoman"/>
          <w:sz w:val="24"/>
          <w:szCs w:val="24"/>
        </w:rPr>
        <w:tab/>
        <w:t>K. Chowdhury, Effect of the presence of a heated circular obstacle on natural convection inside a square enclosure, Presidency University Journal, Bangladesh, vol. 3(2), pp. 38-46, 2016</w:t>
      </w:r>
    </w:p>
    <w:p w:rsidR="00D13EBF" w:rsidRPr="00D13EBF" w:rsidRDefault="00C72E39" w:rsidP="00D13EBF">
      <w:pPr>
        <w:autoSpaceDE w:val="0"/>
        <w:autoSpaceDN w:val="0"/>
        <w:adjustRightInd w:val="0"/>
        <w:spacing w:after="0" w:line="360" w:lineRule="auto"/>
        <w:ind w:firstLine="720"/>
        <w:jc w:val="both"/>
        <w:rPr>
          <w:rFonts w:ascii="Times New Roman" w:hAnsi="Times New Roman" w:cs="TimesNewRoman"/>
          <w:sz w:val="24"/>
          <w:szCs w:val="24"/>
        </w:rPr>
      </w:pPr>
      <w:hyperlink r:id="rId8" w:history="1">
        <w:r w:rsidR="00D13EBF" w:rsidRPr="00D13EBF">
          <w:rPr>
            <w:rFonts w:ascii="Times New Roman" w:hAnsi="Times New Roman" w:cs="TimesNewRoman"/>
            <w:color w:val="0000FF"/>
            <w:sz w:val="24"/>
            <w:szCs w:val="24"/>
            <w:u w:val="single"/>
          </w:rPr>
          <w:t>http://presidency.edu.bd/uploads/Article018.pdf</w:t>
        </w:r>
      </w:hyperlink>
    </w:p>
    <w:p w:rsidR="00D13EBF" w:rsidRPr="00D13EBF" w:rsidRDefault="00D13EBF" w:rsidP="00D13EBF">
      <w:pPr>
        <w:autoSpaceDE w:val="0"/>
        <w:autoSpaceDN w:val="0"/>
        <w:adjustRightInd w:val="0"/>
        <w:spacing w:after="0" w:line="360" w:lineRule="auto"/>
        <w:ind w:left="720" w:hanging="720"/>
        <w:jc w:val="both"/>
        <w:rPr>
          <w:rFonts w:ascii="Times New Roman" w:hAnsi="Times New Roman" w:cs="TimesNewRoman"/>
          <w:sz w:val="24"/>
          <w:szCs w:val="24"/>
        </w:rPr>
      </w:pPr>
      <w:r w:rsidRPr="00D13EBF">
        <w:rPr>
          <w:rFonts w:ascii="Times New Roman" w:hAnsi="Times New Roman" w:cs="TimesNewRoman"/>
          <w:sz w:val="24"/>
          <w:szCs w:val="24"/>
        </w:rPr>
        <w:lastRenderedPageBreak/>
        <w:t>[5]</w:t>
      </w:r>
      <w:r w:rsidRPr="00D13EBF">
        <w:rPr>
          <w:rFonts w:ascii="Times New Roman" w:hAnsi="Times New Roman" w:cs="TimesNewRoman"/>
          <w:sz w:val="24"/>
          <w:szCs w:val="24"/>
        </w:rPr>
        <w:tab/>
      </w:r>
      <w:r w:rsidRPr="00D13EBF">
        <w:rPr>
          <w:rFonts w:ascii="Times New Roman" w:hAnsi="Times New Roman" w:cs="TimesNewRoman"/>
          <w:sz w:val="24"/>
          <w:szCs w:val="24"/>
          <w:shd w:val="clear" w:color="auto" w:fill="FFFFFF"/>
        </w:rPr>
        <w:t xml:space="preserve">K. Chowdhury, M.A. Alim, </w:t>
      </w:r>
      <w:r w:rsidRPr="00D13EBF">
        <w:rPr>
          <w:rFonts w:ascii="Times New Roman" w:hAnsi="Times New Roman" w:cs="TimesNewRoman"/>
          <w:sz w:val="24"/>
          <w:szCs w:val="24"/>
        </w:rPr>
        <w:t>Analysis of MHD mixed convection flow within a square enclosure containing a triangular obstacle, American Journal of Applied Mathematics, vol. 3(6), pp. 288-296, 2015.</w:t>
      </w:r>
    </w:p>
    <w:p w:rsidR="00D13EBF" w:rsidRDefault="00C72E39" w:rsidP="00D13EBF">
      <w:pPr>
        <w:autoSpaceDE w:val="0"/>
        <w:autoSpaceDN w:val="0"/>
        <w:adjustRightInd w:val="0"/>
        <w:spacing w:after="0" w:line="360" w:lineRule="auto"/>
        <w:ind w:firstLine="720"/>
        <w:jc w:val="both"/>
        <w:rPr>
          <w:rFonts w:ascii="Times New Roman" w:hAnsi="Times New Roman" w:cs="TimesNewRoman"/>
          <w:color w:val="0000FF"/>
          <w:sz w:val="24"/>
          <w:szCs w:val="24"/>
          <w:u w:val="single"/>
        </w:rPr>
      </w:pPr>
      <w:hyperlink r:id="rId9" w:history="1">
        <w:r w:rsidR="00D13EBF" w:rsidRPr="00D13EBF">
          <w:rPr>
            <w:rFonts w:ascii="Times New Roman" w:hAnsi="Times New Roman" w:cs="TimesNewRoman"/>
            <w:color w:val="0000FF"/>
            <w:sz w:val="24"/>
            <w:szCs w:val="24"/>
            <w:u w:val="single"/>
          </w:rPr>
          <w:t>http://dx.doi.org/10.11648/j.ajam.20150306.18</w:t>
        </w:r>
      </w:hyperlink>
    </w:p>
    <w:p w:rsidR="004E6997" w:rsidRPr="00D13EBF" w:rsidRDefault="004E6997" w:rsidP="00D13EBF">
      <w:pPr>
        <w:autoSpaceDE w:val="0"/>
        <w:autoSpaceDN w:val="0"/>
        <w:adjustRightInd w:val="0"/>
        <w:spacing w:after="0" w:line="360" w:lineRule="auto"/>
        <w:ind w:firstLine="720"/>
        <w:jc w:val="both"/>
        <w:rPr>
          <w:rFonts w:ascii="Times New Roman" w:hAnsi="Times New Roman" w:cs="TimesNewRoman"/>
          <w:color w:val="0000FF"/>
          <w:sz w:val="24"/>
          <w:szCs w:val="24"/>
          <w:u w:val="single"/>
        </w:rPr>
      </w:pPr>
      <w:r>
        <w:rPr>
          <w:rFonts w:ascii="Times New Roman" w:hAnsi="Times New Roman" w:cs="TimesNewRoman"/>
          <w:noProof/>
          <w:color w:val="0000FF"/>
          <w:sz w:val="24"/>
          <w:szCs w:val="24"/>
          <w:u w:val="single"/>
        </w:rPr>
        <mc:AlternateContent>
          <mc:Choice Requires="wps">
            <w:drawing>
              <wp:anchor distT="0" distB="0" distL="114300" distR="114300" simplePos="0" relativeHeight="251659264" behindDoc="0" locked="0" layoutInCell="1" allowOverlap="1" wp14:anchorId="4980A414" wp14:editId="67237DBD">
                <wp:simplePos x="0" y="0"/>
                <wp:positionH relativeFrom="column">
                  <wp:posOffset>-38100</wp:posOffset>
                </wp:positionH>
                <wp:positionV relativeFrom="paragraph">
                  <wp:posOffset>243840</wp:posOffset>
                </wp:positionV>
                <wp:extent cx="5852160" cy="53340"/>
                <wp:effectExtent l="0" t="0" r="34290" b="22860"/>
                <wp:wrapNone/>
                <wp:docPr id="3" name="Straight Connector 3"/>
                <wp:cNvGraphicFramePr/>
                <a:graphic xmlns:a="http://schemas.openxmlformats.org/drawingml/2006/main">
                  <a:graphicData uri="http://schemas.microsoft.com/office/word/2010/wordprocessingShape">
                    <wps:wsp>
                      <wps:cNvCnPr/>
                      <wps:spPr>
                        <a:xfrm flipV="1">
                          <a:off x="0" y="0"/>
                          <a:ext cx="5852160" cy="5334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5E416B0E" id="Straight Connector 3"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pt,19.2pt" to="457.8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" strokecolor="black [3200]" strokeweight="1.5pt">
                <v:stroke joinstyle="miter"/>
              </v:line>
            </w:pict>
          </mc:Fallback>
        </mc:AlternateContent>
      </w:r>
    </w:p>
    <w:p w:rsidR="004E6997" w:rsidRDefault="004E6997" w:rsidP="004E6997">
      <w:pPr>
        <w:autoSpaceDE w:val="0"/>
        <w:autoSpaceDN w:val="0"/>
        <w:adjustRightInd w:val="0"/>
        <w:spacing w:after="0" w:line="240" w:lineRule="auto"/>
        <w:jc w:val="both"/>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p>
    <w:p w:rsidR="004E6997" w:rsidRDefault="0056475E" w:rsidP="00B1173F">
      <w:pPr>
        <w:autoSpaceDE w:val="0"/>
        <w:autoSpaceDN w:val="0"/>
        <w:adjustRightInd w:val="0"/>
        <w:spacing w:after="0" w:line="240" w:lineRule="auto"/>
        <w:jc w:val="both"/>
        <w:rPr>
          <w:rFonts w:ascii="Times New Roman" w:hAnsi="Times New Roman" w:cs="TimesNewRoman"/>
          <w:b/>
          <w:sz w:val="28"/>
          <w:szCs w:val="28"/>
        </w:rPr>
      </w:pPr>
      <w:r w:rsidRPr="003835F3">
        <w:rPr>
          <w:noProof/>
        </w:rPr>
        <w:drawing>
          <wp:inline distT="0" distB="0" distL="0" distR="0" wp14:anchorId="5795C9FA" wp14:editId="28726A91">
            <wp:extent cx="1135116" cy="1371600"/>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135116" cy="1371600"/>
                    </a:xfrm>
                    <a:prstGeom prst="rect">
                      <a:avLst/>
                    </a:prstGeom>
                  </pic:spPr>
                </pic:pic>
              </a:graphicData>
            </a:graphic>
          </wp:inline>
        </w:drawing>
      </w:r>
      <w:r w:rsidR="00B1173F">
        <w:rPr>
          <w:rFonts w:ascii="Times New Roman" w:hAnsi="Times New Roman" w:cs="TimesNewRoman"/>
          <w:b/>
          <w:sz w:val="28"/>
          <w:szCs w:val="28"/>
        </w:rPr>
        <w:t xml:space="preserve"> </w:t>
      </w:r>
      <w:r w:rsidR="00B1173F">
        <w:rPr>
          <w:rFonts w:ascii="Times New Roman" w:hAnsi="Times New Roman" w:cs="TimesNewRoman"/>
          <w:b/>
          <w:sz w:val="28"/>
          <w:szCs w:val="28"/>
        </w:rPr>
        <w:tab/>
      </w:r>
      <w:r w:rsidR="00B1173F">
        <w:rPr>
          <w:rFonts w:ascii="Times New Roman" w:hAnsi="Times New Roman" w:cs="TimesNewRoman"/>
          <w:b/>
          <w:sz w:val="28"/>
          <w:szCs w:val="28"/>
        </w:rPr>
        <w:tab/>
      </w:r>
      <w:r w:rsidR="00B1173F">
        <w:rPr>
          <w:rFonts w:ascii="Times New Roman" w:hAnsi="Times New Roman" w:cs="TimesNewRoman"/>
          <w:b/>
          <w:sz w:val="28"/>
          <w:szCs w:val="28"/>
        </w:rPr>
        <w:tab/>
      </w:r>
      <w:r w:rsidR="00B1173F">
        <w:rPr>
          <w:rFonts w:ascii="Times New Roman" w:hAnsi="Times New Roman" w:cs="TimesNewRoman"/>
          <w:b/>
          <w:sz w:val="28"/>
          <w:szCs w:val="28"/>
        </w:rPr>
        <w:tab/>
      </w:r>
      <w:r w:rsidR="00B1173F">
        <w:rPr>
          <w:rFonts w:ascii="Times New Roman" w:hAnsi="Times New Roman" w:cs="TimesNewRoman"/>
          <w:b/>
          <w:sz w:val="28"/>
          <w:szCs w:val="28"/>
        </w:rPr>
        <w:tab/>
      </w:r>
      <w:r w:rsidR="00B1173F">
        <w:rPr>
          <w:rFonts w:ascii="Times New Roman" w:hAnsi="Times New Roman" w:cs="TimesNewRoman"/>
          <w:b/>
          <w:sz w:val="28"/>
          <w:szCs w:val="28"/>
        </w:rPr>
        <w:tab/>
      </w:r>
      <w:r w:rsidR="00B1173F">
        <w:rPr>
          <w:rFonts w:ascii="Times New Roman" w:hAnsi="Times New Roman" w:cs="TimesNewRoman"/>
          <w:b/>
          <w:sz w:val="28"/>
          <w:szCs w:val="28"/>
        </w:rPr>
        <w:tab/>
      </w:r>
      <w:r>
        <w:rPr>
          <w:rFonts w:ascii="Times New Roman" w:hAnsi="Times New Roman" w:cs="TimesNewRoman"/>
          <w:b/>
          <w:sz w:val="28"/>
          <w:szCs w:val="28"/>
        </w:rPr>
        <w:tab/>
      </w:r>
      <w:r w:rsidR="00B1173F">
        <w:rPr>
          <w:rFonts w:ascii="Times New Roman" w:hAnsi="Times New Roman" w:cs="TimesNewRoman"/>
          <w:b/>
          <w:sz w:val="28"/>
          <w:szCs w:val="28"/>
        </w:rPr>
        <w:tab/>
        <w:t xml:space="preserve"> </w:t>
      </w:r>
      <w:r w:rsidR="004E6997">
        <w:rPr>
          <w:noProof/>
        </w:rPr>
        <w:drawing>
          <wp:inline distT="0" distB="0" distL="0" distR="0" wp14:anchorId="2690075F" wp14:editId="7E779C8D">
            <wp:extent cx="731520" cy="739384"/>
            <wp:effectExtent l="0" t="0" r="0" b="3810"/>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1520" cy="739384"/>
                    </a:xfrm>
                    <a:prstGeom prst="rect">
                      <a:avLst/>
                    </a:prstGeom>
                    <a:noFill/>
                    <a:ln>
                      <a:noFill/>
                    </a:ln>
                  </pic:spPr>
                </pic:pic>
              </a:graphicData>
            </a:graphic>
          </wp:inline>
        </w:drawing>
      </w:r>
    </w:p>
    <w:p w:rsidR="003228FD" w:rsidRPr="003228FD" w:rsidRDefault="003228FD" w:rsidP="00D77F62">
      <w:pPr>
        <w:autoSpaceDE w:val="0"/>
        <w:autoSpaceDN w:val="0"/>
        <w:adjustRightInd w:val="0"/>
        <w:spacing w:after="0" w:line="360" w:lineRule="auto"/>
        <w:jc w:val="both"/>
        <w:rPr>
          <w:rFonts w:ascii="Times New Roman" w:hAnsi="Times New Roman" w:cs="TimesNewRoman"/>
          <w:b/>
          <w:sz w:val="28"/>
          <w:szCs w:val="28"/>
        </w:rPr>
      </w:pPr>
      <w:r w:rsidRPr="003228FD">
        <w:rPr>
          <w:rFonts w:ascii="Times New Roman" w:hAnsi="Times New Roman" w:cs="TimesNewRoman"/>
          <w:b/>
          <w:sz w:val="28"/>
          <w:szCs w:val="28"/>
        </w:rPr>
        <w:t>Biography:</w:t>
      </w:r>
    </w:p>
    <w:p w:rsidR="003228FD" w:rsidRPr="007E632E" w:rsidRDefault="007E632E" w:rsidP="00D13EBF">
      <w:pPr>
        <w:autoSpaceDE w:val="0"/>
        <w:autoSpaceDN w:val="0"/>
        <w:adjustRightInd w:val="0"/>
        <w:spacing w:after="0" w:line="360" w:lineRule="auto"/>
        <w:jc w:val="both"/>
        <w:rPr>
          <w:rFonts w:ascii="Times New Roman" w:hAnsi="Times New Roman" w:cs="TimesNewRoman"/>
          <w:sz w:val="24"/>
          <w:szCs w:val="24"/>
        </w:rPr>
      </w:pPr>
      <w:r w:rsidRPr="007E632E">
        <w:rPr>
          <w:rFonts w:ascii="Times New Roman" w:hAnsi="Times New Roman" w:cs="TimesNewRoman"/>
          <w:sz w:val="24"/>
          <w:szCs w:val="24"/>
        </w:rPr>
        <w:t>Kakali</w:t>
      </w:r>
      <w:r>
        <w:rPr>
          <w:rFonts w:ascii="Times New Roman" w:hAnsi="Times New Roman" w:cs="TimesNewRoman"/>
          <w:sz w:val="24"/>
          <w:szCs w:val="24"/>
        </w:rPr>
        <w:t xml:space="preserve"> Chowdhury </w:t>
      </w:r>
      <w:r w:rsidR="00771653">
        <w:rPr>
          <w:rFonts w:ascii="Times New Roman" w:hAnsi="Times New Roman" w:cs="TimesNewRoman"/>
          <w:sz w:val="24"/>
          <w:szCs w:val="24"/>
        </w:rPr>
        <w:t xml:space="preserve">is working as a faculty member </w:t>
      </w:r>
      <w:r w:rsidR="00236A33">
        <w:rPr>
          <w:rFonts w:ascii="Times New Roman" w:hAnsi="Times New Roman" w:cs="TimesNewRoman"/>
          <w:sz w:val="24"/>
          <w:szCs w:val="24"/>
        </w:rPr>
        <w:t xml:space="preserve">of Mathematics in the department of Electrical and Computer Engineering of </w:t>
      </w:r>
      <w:r w:rsidR="00771653">
        <w:rPr>
          <w:rFonts w:ascii="Times New Roman" w:hAnsi="Times New Roman" w:cs="TimesNewRoman"/>
          <w:sz w:val="24"/>
          <w:szCs w:val="24"/>
        </w:rPr>
        <w:t>Presidency University, Dhaka, Bangladesh. She obtained her B.Sc. and M.Sc.</w:t>
      </w:r>
      <w:r w:rsidR="00236A33">
        <w:rPr>
          <w:rFonts w:ascii="Times New Roman" w:hAnsi="Times New Roman" w:cs="TimesNewRoman"/>
          <w:sz w:val="24"/>
          <w:szCs w:val="24"/>
        </w:rPr>
        <w:t xml:space="preserve"> </w:t>
      </w:r>
      <w:r w:rsidR="00771653">
        <w:rPr>
          <w:rFonts w:ascii="Times New Roman" w:hAnsi="Times New Roman" w:cs="TimesNewRoman"/>
          <w:sz w:val="24"/>
          <w:szCs w:val="24"/>
        </w:rPr>
        <w:t>degree from Rajshahi University, Rajshahi, Bangladesh</w:t>
      </w:r>
      <w:r w:rsidR="00236A33">
        <w:rPr>
          <w:rFonts w:ascii="Times New Roman" w:hAnsi="Times New Roman" w:cs="TimesNewRoman"/>
          <w:sz w:val="24"/>
          <w:szCs w:val="24"/>
        </w:rPr>
        <w:t>. She has obtained her M.Phil degree from Bangladesh University of Engineering &amp; Technology (BUET), Dhaka and now she i</w:t>
      </w:r>
      <w:r w:rsidR="00EA46EE">
        <w:rPr>
          <w:rFonts w:ascii="Times New Roman" w:hAnsi="Times New Roman" w:cs="TimesNewRoman"/>
          <w:sz w:val="24"/>
          <w:szCs w:val="24"/>
        </w:rPr>
        <w:t>s</w:t>
      </w:r>
      <w:r w:rsidR="00236A33">
        <w:rPr>
          <w:rFonts w:ascii="Times New Roman" w:hAnsi="Times New Roman" w:cs="TimesNewRoman"/>
          <w:sz w:val="24"/>
          <w:szCs w:val="24"/>
        </w:rPr>
        <w:t xml:space="preserve"> continuing her Ph.D. degree in BUET, Dhaka also. </w:t>
      </w:r>
      <w:r w:rsidR="004E6997">
        <w:rPr>
          <w:rFonts w:ascii="Times New Roman" w:hAnsi="Times New Roman" w:cs="TimesNewRoman"/>
          <w:sz w:val="24"/>
          <w:szCs w:val="24"/>
        </w:rPr>
        <w:t xml:space="preserve">Besides teaching, for a long time </w:t>
      </w:r>
      <w:r w:rsidR="00236A33">
        <w:rPr>
          <w:rFonts w:ascii="Times New Roman" w:hAnsi="Times New Roman" w:cs="TimesNewRoman"/>
          <w:sz w:val="24"/>
          <w:szCs w:val="24"/>
        </w:rPr>
        <w:t>she is engaged in the</w:t>
      </w:r>
      <w:r>
        <w:rPr>
          <w:rFonts w:ascii="Times New Roman" w:hAnsi="Times New Roman" w:cs="TimesNewRoman"/>
          <w:sz w:val="24"/>
          <w:szCs w:val="24"/>
        </w:rPr>
        <w:t xml:space="preserve"> research work in </w:t>
      </w:r>
      <w:r w:rsidR="004E6997">
        <w:rPr>
          <w:rFonts w:ascii="Times New Roman" w:hAnsi="Times New Roman" w:cs="TimesNewRoman"/>
          <w:sz w:val="24"/>
          <w:szCs w:val="24"/>
        </w:rPr>
        <w:t xml:space="preserve">the area of </w:t>
      </w:r>
      <w:r>
        <w:rPr>
          <w:rFonts w:ascii="Times New Roman" w:hAnsi="Times New Roman" w:cs="TimesNewRoman"/>
          <w:sz w:val="24"/>
          <w:szCs w:val="24"/>
        </w:rPr>
        <w:t>Computational Fluid Dynamics more specifically she has her expertise in the area of fluid flow and heat transfer. Recently she has extended her research work to Nanomaterial and Nanotechnology.</w:t>
      </w:r>
    </w:p>
    <w:p w:rsidR="003228FD" w:rsidRDefault="003228FD" w:rsidP="00D13EBF">
      <w:pPr>
        <w:autoSpaceDE w:val="0"/>
        <w:autoSpaceDN w:val="0"/>
        <w:adjustRightInd w:val="0"/>
        <w:spacing w:after="0" w:line="360" w:lineRule="auto"/>
        <w:jc w:val="both"/>
        <w:rPr>
          <w:rFonts w:ascii="Times New Roman" w:hAnsi="Times New Roman" w:cs="TimesNewRoman"/>
          <w:color w:val="0000FF"/>
          <w:sz w:val="24"/>
          <w:szCs w:val="24"/>
          <w:u w:val="single"/>
        </w:rPr>
      </w:pPr>
      <w:r w:rsidRPr="003228FD">
        <w:rPr>
          <w:rFonts w:ascii="Times New Roman" w:hAnsi="Times New Roman" w:cs="TimesNewRoman"/>
          <w:sz w:val="24"/>
          <w:szCs w:val="24"/>
        </w:rPr>
        <w:t>Email:</w:t>
      </w:r>
      <w:r w:rsidRPr="003228FD">
        <w:rPr>
          <w:rFonts w:ascii="Times New Roman" w:hAnsi="Times New Roman" w:cs="TimesNewRoman"/>
          <w:sz w:val="24"/>
          <w:szCs w:val="24"/>
          <w:u w:val="single"/>
        </w:rPr>
        <w:t xml:space="preserve"> </w:t>
      </w:r>
      <w:r>
        <w:rPr>
          <w:rFonts w:ascii="Times New Roman" w:hAnsi="Times New Roman" w:cs="TimesNewRoman"/>
          <w:color w:val="0000FF"/>
          <w:sz w:val="24"/>
          <w:szCs w:val="24"/>
          <w:u w:val="single"/>
        </w:rPr>
        <w:t>kakalic@pu.edu.bd</w:t>
      </w:r>
    </w:p>
    <w:p w:rsidR="003228FD" w:rsidRDefault="003228FD" w:rsidP="00D13EBF">
      <w:pPr>
        <w:autoSpaceDE w:val="0"/>
        <w:autoSpaceDN w:val="0"/>
        <w:adjustRightInd w:val="0"/>
        <w:spacing w:after="0" w:line="360" w:lineRule="auto"/>
        <w:jc w:val="both"/>
        <w:rPr>
          <w:rFonts w:ascii="Times New Roman" w:hAnsi="Times New Roman" w:cs="TimesNewRoman"/>
          <w:color w:val="0000FF"/>
          <w:sz w:val="24"/>
          <w:szCs w:val="24"/>
          <w:u w:val="single"/>
        </w:rPr>
      </w:pPr>
    </w:p>
    <w:p w:rsidR="003228FD" w:rsidRDefault="003228FD" w:rsidP="00D13EBF">
      <w:pPr>
        <w:autoSpaceDE w:val="0"/>
        <w:autoSpaceDN w:val="0"/>
        <w:adjustRightInd w:val="0"/>
        <w:spacing w:after="0" w:line="360" w:lineRule="auto"/>
        <w:jc w:val="both"/>
        <w:rPr>
          <w:rFonts w:ascii="Times New Roman" w:hAnsi="Times New Roman" w:cs="TimesNewRoman"/>
          <w:sz w:val="24"/>
          <w:szCs w:val="24"/>
          <w:u w:val="single"/>
        </w:rPr>
      </w:pPr>
      <w:r w:rsidRPr="003228FD">
        <w:rPr>
          <w:rFonts w:ascii="Times New Roman" w:hAnsi="Times New Roman" w:cs="TimesNewRoman"/>
          <w:sz w:val="24"/>
          <w:szCs w:val="24"/>
          <w:u w:val="single"/>
        </w:rPr>
        <w:t>Notes/Comments:</w:t>
      </w:r>
    </w:p>
    <w:p w:rsidR="003228FD" w:rsidRDefault="003228FD" w:rsidP="00D13EBF">
      <w:pPr>
        <w:autoSpaceDE w:val="0"/>
        <w:autoSpaceDN w:val="0"/>
        <w:adjustRightInd w:val="0"/>
        <w:spacing w:after="0" w:line="360" w:lineRule="auto"/>
        <w:jc w:val="both"/>
        <w:rPr>
          <w:rFonts w:ascii="Times New Roman" w:hAnsi="Times New Roman" w:cs="TimesNewRoman"/>
          <w:b/>
          <w:sz w:val="24"/>
          <w:szCs w:val="24"/>
        </w:rPr>
      </w:pPr>
      <w:r w:rsidRPr="003228FD">
        <w:rPr>
          <w:rFonts w:ascii="Times New Roman" w:hAnsi="Times New Roman" w:cs="TimesNewRoman"/>
          <w:b/>
          <w:sz w:val="24"/>
          <w:szCs w:val="24"/>
        </w:rPr>
        <w:t>Presenting Author Details</w:t>
      </w:r>
    </w:p>
    <w:p w:rsidR="003228FD" w:rsidRDefault="003228FD" w:rsidP="00D13EBF">
      <w:pPr>
        <w:autoSpaceDE w:val="0"/>
        <w:autoSpaceDN w:val="0"/>
        <w:adjustRightInd w:val="0"/>
        <w:spacing w:after="0" w:line="360" w:lineRule="auto"/>
        <w:jc w:val="both"/>
        <w:rPr>
          <w:rFonts w:ascii="Times New Roman" w:hAnsi="Times New Roman" w:cs="TimesNewRoman"/>
          <w:sz w:val="24"/>
          <w:szCs w:val="24"/>
        </w:rPr>
      </w:pPr>
      <w:r w:rsidRPr="003228FD">
        <w:rPr>
          <w:rFonts w:ascii="Times New Roman" w:hAnsi="Times New Roman" w:cs="TimesNewRoman"/>
          <w:sz w:val="24"/>
          <w:szCs w:val="24"/>
        </w:rPr>
        <w:t>Full Name: Kakali Chowdhury</w:t>
      </w:r>
    </w:p>
    <w:p w:rsidR="003228FD" w:rsidRDefault="003228FD" w:rsidP="00D13EBF">
      <w:pPr>
        <w:autoSpaceDE w:val="0"/>
        <w:autoSpaceDN w:val="0"/>
        <w:adjustRightInd w:val="0"/>
        <w:spacing w:after="0" w:line="360" w:lineRule="auto"/>
        <w:jc w:val="both"/>
        <w:rPr>
          <w:rFonts w:ascii="Times New Roman" w:hAnsi="Times New Roman" w:cs="TimesNewRoman"/>
          <w:sz w:val="24"/>
          <w:szCs w:val="24"/>
        </w:rPr>
      </w:pPr>
      <w:r>
        <w:rPr>
          <w:rFonts w:ascii="Times New Roman" w:hAnsi="Times New Roman" w:cs="TimesNewRoman"/>
          <w:sz w:val="24"/>
          <w:szCs w:val="24"/>
        </w:rPr>
        <w:t>Contact Number: +880-1795595043</w:t>
      </w:r>
    </w:p>
    <w:p w:rsidR="003228FD" w:rsidRDefault="003228FD" w:rsidP="00D13EBF">
      <w:pPr>
        <w:autoSpaceDE w:val="0"/>
        <w:autoSpaceDN w:val="0"/>
        <w:adjustRightInd w:val="0"/>
        <w:spacing w:after="0" w:line="360" w:lineRule="auto"/>
        <w:jc w:val="both"/>
        <w:rPr>
          <w:rFonts w:ascii="Times New Roman" w:hAnsi="Times New Roman" w:cs="TimesNewRoman"/>
          <w:sz w:val="24"/>
          <w:szCs w:val="24"/>
        </w:rPr>
      </w:pPr>
      <w:r>
        <w:rPr>
          <w:rFonts w:ascii="Times New Roman" w:hAnsi="Times New Roman" w:cs="TimesNewRoman"/>
          <w:sz w:val="24"/>
          <w:szCs w:val="24"/>
        </w:rPr>
        <w:t>Twitter account: NA</w:t>
      </w:r>
    </w:p>
    <w:p w:rsidR="003228FD" w:rsidRDefault="003228FD" w:rsidP="00D13EBF">
      <w:pPr>
        <w:autoSpaceDE w:val="0"/>
        <w:autoSpaceDN w:val="0"/>
        <w:adjustRightInd w:val="0"/>
        <w:spacing w:after="0" w:line="360" w:lineRule="auto"/>
        <w:jc w:val="both"/>
        <w:rPr>
          <w:rFonts w:ascii="Times New Roman" w:hAnsi="Times New Roman" w:cs="TimesNewRoman"/>
          <w:sz w:val="24"/>
          <w:szCs w:val="24"/>
        </w:rPr>
      </w:pPr>
      <w:r w:rsidRPr="005032BF">
        <w:rPr>
          <w:rFonts w:ascii="Times New Roman" w:hAnsi="Times New Roman" w:cs="TimesNewRoman"/>
          <w:sz w:val="24"/>
          <w:szCs w:val="24"/>
        </w:rPr>
        <w:t xml:space="preserve">Linked In account: </w:t>
      </w:r>
      <w:r w:rsidR="005032BF" w:rsidRPr="005032BF">
        <w:rPr>
          <w:rFonts w:ascii="Times New Roman" w:hAnsi="Times New Roman" w:cs="TimesNewRoman"/>
          <w:sz w:val="24"/>
          <w:szCs w:val="24"/>
        </w:rPr>
        <w:t>Kakali Shome</w:t>
      </w:r>
    </w:p>
    <w:p w:rsidR="003228FD" w:rsidRDefault="003228FD" w:rsidP="00D13EBF">
      <w:pPr>
        <w:autoSpaceDE w:val="0"/>
        <w:autoSpaceDN w:val="0"/>
        <w:adjustRightInd w:val="0"/>
        <w:spacing w:after="0" w:line="360" w:lineRule="auto"/>
        <w:jc w:val="both"/>
        <w:rPr>
          <w:rFonts w:ascii="Times New Roman" w:hAnsi="Times New Roman" w:cs="TimesNewRoman"/>
          <w:sz w:val="24"/>
          <w:szCs w:val="24"/>
        </w:rPr>
      </w:pPr>
      <w:r>
        <w:rPr>
          <w:rFonts w:ascii="Times New Roman" w:hAnsi="Times New Roman" w:cs="TimesNewRoman"/>
          <w:sz w:val="24"/>
          <w:szCs w:val="24"/>
        </w:rPr>
        <w:t xml:space="preserve">Session Name/number: </w:t>
      </w:r>
    </w:p>
    <w:p w:rsidR="00FE28EA" w:rsidRDefault="0056475E" w:rsidP="00D13EBF">
      <w:pPr>
        <w:autoSpaceDE w:val="0"/>
        <w:autoSpaceDN w:val="0"/>
        <w:adjustRightInd w:val="0"/>
        <w:spacing w:after="0" w:line="360" w:lineRule="auto"/>
        <w:jc w:val="both"/>
        <w:rPr>
          <w:rFonts w:ascii="Times New Roman" w:hAnsi="Times New Roman" w:cs="TimesNewRoman"/>
          <w:sz w:val="24"/>
          <w:szCs w:val="24"/>
        </w:rPr>
      </w:pPr>
      <w:r>
        <w:rPr>
          <w:rFonts w:ascii="Times New Roman" w:hAnsi="Times New Roman" w:cs="TimesNewRoman"/>
          <w:sz w:val="24"/>
          <w:szCs w:val="24"/>
        </w:rPr>
        <w:t>Category: Oral Presentation</w:t>
      </w:r>
    </w:p>
    <w:p w:rsidR="00D13EBF" w:rsidRDefault="00D13EBF" w:rsidP="00D13EBF">
      <w:pPr>
        <w:spacing w:after="0" w:line="360" w:lineRule="auto"/>
        <w:ind w:firstLine="540"/>
        <w:jc w:val="both"/>
        <w:rPr>
          <w:rFonts w:ascii="Cambria" w:hAnsi="Cambria"/>
          <w:color w:val="0000FF"/>
          <w:sz w:val="16"/>
          <w:szCs w:val="24"/>
          <w:u w:val="single"/>
        </w:rPr>
      </w:pPr>
    </w:p>
    <w:p w:rsidR="00B1173F" w:rsidRPr="00D13EBF" w:rsidRDefault="00B1173F" w:rsidP="00D13EBF">
      <w:pPr>
        <w:spacing w:after="0" w:line="360" w:lineRule="auto"/>
        <w:ind w:firstLine="540"/>
        <w:jc w:val="both"/>
        <w:rPr>
          <w:rFonts w:ascii="Cambria" w:hAnsi="Cambria"/>
          <w:color w:val="0000FF"/>
          <w:sz w:val="16"/>
          <w:szCs w:val="24"/>
          <w:u w:val="single"/>
        </w:rPr>
      </w:pPr>
    </w:p>
    <w:sectPr w:rsidR="00B1173F" w:rsidRPr="00D13E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Arial Unicode MS"/>
    <w:panose1 w:val="00000000000000000000"/>
    <w:charset w:val="00"/>
    <w:family w:val="auto"/>
    <w:notTrueType/>
    <w:pitch w:val="default"/>
    <w:sig w:usb0="00000003" w:usb1="09060000" w:usb2="00000010" w:usb3="00000000" w:csb0="0008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CC3786"/>
    <w:multiLevelType w:val="hybridMultilevel"/>
    <w:tmpl w:val="4A6A1954"/>
    <w:lvl w:ilvl="0" w:tplc="0D3877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12A"/>
    <w:rsid w:val="00236A33"/>
    <w:rsid w:val="003228FD"/>
    <w:rsid w:val="004E6997"/>
    <w:rsid w:val="005032BF"/>
    <w:rsid w:val="0053333C"/>
    <w:rsid w:val="0056475E"/>
    <w:rsid w:val="00771653"/>
    <w:rsid w:val="007E632E"/>
    <w:rsid w:val="009A612A"/>
    <w:rsid w:val="00B1173F"/>
    <w:rsid w:val="00C72E39"/>
    <w:rsid w:val="00D13EBF"/>
    <w:rsid w:val="00D77F62"/>
    <w:rsid w:val="00DD3CD0"/>
    <w:rsid w:val="00DE0435"/>
    <w:rsid w:val="00EA46EE"/>
    <w:rsid w:val="00F24651"/>
    <w:rsid w:val="00FE2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A612A"/>
    <w:pPr>
      <w:keepNext/>
      <w:keepLines/>
      <w:spacing w:before="360" w:after="120" w:line="360" w:lineRule="auto"/>
      <w:jc w:val="both"/>
      <w:outlineLvl w:val="0"/>
    </w:pPr>
    <w:rPr>
      <w:rFonts w:ascii="Times New Roman" w:eastAsiaTheme="majorEastAsia" w:hAnsi="Times New Roman" w:cstheme="majorBidi"/>
      <w:b/>
      <w:color w:val="000000" w:themeColor="text1"/>
      <w:sz w:val="40"/>
      <w:szCs w:val="32"/>
    </w:rPr>
  </w:style>
  <w:style w:type="paragraph" w:styleId="Heading2">
    <w:name w:val="heading 2"/>
    <w:basedOn w:val="Normal"/>
    <w:next w:val="Normal"/>
    <w:link w:val="Heading2Char"/>
    <w:uiPriority w:val="9"/>
    <w:unhideWhenUsed/>
    <w:qFormat/>
    <w:rsid w:val="009A612A"/>
    <w:pPr>
      <w:keepNext/>
      <w:keepLines/>
      <w:spacing w:before="240" w:after="120" w:line="312" w:lineRule="auto"/>
      <w:jc w:val="both"/>
      <w:outlineLvl w:val="1"/>
    </w:pPr>
    <w:rPr>
      <w:rFonts w:ascii="Times New Roman" w:eastAsiaTheme="majorEastAsia" w:hAnsi="Times New Roman" w:cstheme="majorBidi"/>
      <w:b/>
      <w:sz w:val="32"/>
      <w:szCs w:val="26"/>
    </w:rPr>
  </w:style>
  <w:style w:type="paragraph" w:styleId="Heading3">
    <w:name w:val="heading 3"/>
    <w:basedOn w:val="Normal"/>
    <w:next w:val="Normal"/>
    <w:link w:val="Heading3Char"/>
    <w:uiPriority w:val="9"/>
    <w:unhideWhenUsed/>
    <w:qFormat/>
    <w:rsid w:val="009A612A"/>
    <w:pPr>
      <w:keepNext/>
      <w:keepLines/>
      <w:spacing w:before="120" w:after="120" w:line="360" w:lineRule="auto"/>
      <w:jc w:val="both"/>
      <w:outlineLvl w:val="2"/>
    </w:pPr>
    <w:rPr>
      <w:rFonts w:ascii="Times New Roman" w:eastAsiaTheme="majorEastAsia" w:hAnsi="Times New Roman"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12A"/>
    <w:rPr>
      <w:rFonts w:ascii="Times New Roman" w:eastAsiaTheme="majorEastAsia" w:hAnsi="Times New Roman" w:cstheme="majorBidi"/>
      <w:b/>
      <w:color w:val="000000" w:themeColor="text1"/>
      <w:sz w:val="40"/>
      <w:szCs w:val="32"/>
    </w:rPr>
  </w:style>
  <w:style w:type="character" w:customStyle="1" w:styleId="Heading2Char">
    <w:name w:val="Heading 2 Char"/>
    <w:basedOn w:val="DefaultParagraphFont"/>
    <w:link w:val="Heading2"/>
    <w:uiPriority w:val="9"/>
    <w:rsid w:val="009A612A"/>
    <w:rPr>
      <w:rFonts w:ascii="Times New Roman" w:eastAsiaTheme="majorEastAsia" w:hAnsi="Times New Roman" w:cstheme="majorBidi"/>
      <w:b/>
      <w:sz w:val="32"/>
      <w:szCs w:val="26"/>
    </w:rPr>
  </w:style>
  <w:style w:type="character" w:customStyle="1" w:styleId="Heading3Char">
    <w:name w:val="Heading 3 Char"/>
    <w:basedOn w:val="DefaultParagraphFont"/>
    <w:link w:val="Heading3"/>
    <w:uiPriority w:val="9"/>
    <w:rsid w:val="009A612A"/>
    <w:rPr>
      <w:rFonts w:ascii="Times New Roman" w:eastAsiaTheme="majorEastAsia" w:hAnsi="Times New Roman" w:cstheme="majorBidi"/>
      <w:b/>
      <w:sz w:val="28"/>
      <w:szCs w:val="24"/>
    </w:rPr>
  </w:style>
  <w:style w:type="paragraph" w:customStyle="1" w:styleId="Text">
    <w:name w:val="Text"/>
    <w:basedOn w:val="Normal"/>
    <w:link w:val="TextChar"/>
    <w:qFormat/>
    <w:rsid w:val="009A612A"/>
    <w:pPr>
      <w:autoSpaceDE w:val="0"/>
      <w:autoSpaceDN w:val="0"/>
      <w:adjustRightInd w:val="0"/>
      <w:spacing w:after="0" w:line="360" w:lineRule="auto"/>
      <w:jc w:val="both"/>
    </w:pPr>
    <w:rPr>
      <w:rFonts w:ascii="Times New Roman" w:hAnsi="Times New Roman" w:cs="TimesNewRoman"/>
      <w:sz w:val="24"/>
      <w:szCs w:val="24"/>
    </w:rPr>
  </w:style>
  <w:style w:type="character" w:customStyle="1" w:styleId="TextChar">
    <w:name w:val="Text Char"/>
    <w:basedOn w:val="DefaultParagraphFont"/>
    <w:link w:val="Text"/>
    <w:rsid w:val="009A612A"/>
    <w:rPr>
      <w:rFonts w:ascii="Times New Roman" w:hAnsi="Times New Roman" w:cs="TimesNewRoman"/>
      <w:sz w:val="24"/>
      <w:szCs w:val="24"/>
    </w:rPr>
  </w:style>
  <w:style w:type="paragraph" w:styleId="BalloonText">
    <w:name w:val="Balloon Text"/>
    <w:basedOn w:val="Normal"/>
    <w:link w:val="BalloonTextChar"/>
    <w:uiPriority w:val="99"/>
    <w:semiHidden/>
    <w:unhideWhenUsed/>
    <w:rsid w:val="00C72E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E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A612A"/>
    <w:pPr>
      <w:keepNext/>
      <w:keepLines/>
      <w:spacing w:before="360" w:after="120" w:line="360" w:lineRule="auto"/>
      <w:jc w:val="both"/>
      <w:outlineLvl w:val="0"/>
    </w:pPr>
    <w:rPr>
      <w:rFonts w:ascii="Times New Roman" w:eastAsiaTheme="majorEastAsia" w:hAnsi="Times New Roman" w:cstheme="majorBidi"/>
      <w:b/>
      <w:color w:val="000000" w:themeColor="text1"/>
      <w:sz w:val="40"/>
      <w:szCs w:val="32"/>
    </w:rPr>
  </w:style>
  <w:style w:type="paragraph" w:styleId="Heading2">
    <w:name w:val="heading 2"/>
    <w:basedOn w:val="Normal"/>
    <w:next w:val="Normal"/>
    <w:link w:val="Heading2Char"/>
    <w:uiPriority w:val="9"/>
    <w:unhideWhenUsed/>
    <w:qFormat/>
    <w:rsid w:val="009A612A"/>
    <w:pPr>
      <w:keepNext/>
      <w:keepLines/>
      <w:spacing w:before="240" w:after="120" w:line="312" w:lineRule="auto"/>
      <w:jc w:val="both"/>
      <w:outlineLvl w:val="1"/>
    </w:pPr>
    <w:rPr>
      <w:rFonts w:ascii="Times New Roman" w:eastAsiaTheme="majorEastAsia" w:hAnsi="Times New Roman" w:cstheme="majorBidi"/>
      <w:b/>
      <w:sz w:val="32"/>
      <w:szCs w:val="26"/>
    </w:rPr>
  </w:style>
  <w:style w:type="paragraph" w:styleId="Heading3">
    <w:name w:val="heading 3"/>
    <w:basedOn w:val="Normal"/>
    <w:next w:val="Normal"/>
    <w:link w:val="Heading3Char"/>
    <w:uiPriority w:val="9"/>
    <w:unhideWhenUsed/>
    <w:qFormat/>
    <w:rsid w:val="009A612A"/>
    <w:pPr>
      <w:keepNext/>
      <w:keepLines/>
      <w:spacing w:before="120" w:after="120" w:line="360" w:lineRule="auto"/>
      <w:jc w:val="both"/>
      <w:outlineLvl w:val="2"/>
    </w:pPr>
    <w:rPr>
      <w:rFonts w:ascii="Times New Roman" w:eastAsiaTheme="majorEastAsia" w:hAnsi="Times New Roman"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12A"/>
    <w:rPr>
      <w:rFonts w:ascii="Times New Roman" w:eastAsiaTheme="majorEastAsia" w:hAnsi="Times New Roman" w:cstheme="majorBidi"/>
      <w:b/>
      <w:color w:val="000000" w:themeColor="text1"/>
      <w:sz w:val="40"/>
      <w:szCs w:val="32"/>
    </w:rPr>
  </w:style>
  <w:style w:type="character" w:customStyle="1" w:styleId="Heading2Char">
    <w:name w:val="Heading 2 Char"/>
    <w:basedOn w:val="DefaultParagraphFont"/>
    <w:link w:val="Heading2"/>
    <w:uiPriority w:val="9"/>
    <w:rsid w:val="009A612A"/>
    <w:rPr>
      <w:rFonts w:ascii="Times New Roman" w:eastAsiaTheme="majorEastAsia" w:hAnsi="Times New Roman" w:cstheme="majorBidi"/>
      <w:b/>
      <w:sz w:val="32"/>
      <w:szCs w:val="26"/>
    </w:rPr>
  </w:style>
  <w:style w:type="character" w:customStyle="1" w:styleId="Heading3Char">
    <w:name w:val="Heading 3 Char"/>
    <w:basedOn w:val="DefaultParagraphFont"/>
    <w:link w:val="Heading3"/>
    <w:uiPriority w:val="9"/>
    <w:rsid w:val="009A612A"/>
    <w:rPr>
      <w:rFonts w:ascii="Times New Roman" w:eastAsiaTheme="majorEastAsia" w:hAnsi="Times New Roman" w:cstheme="majorBidi"/>
      <w:b/>
      <w:sz w:val="28"/>
      <w:szCs w:val="24"/>
    </w:rPr>
  </w:style>
  <w:style w:type="paragraph" w:customStyle="1" w:styleId="Text">
    <w:name w:val="Text"/>
    <w:basedOn w:val="Normal"/>
    <w:link w:val="TextChar"/>
    <w:qFormat/>
    <w:rsid w:val="009A612A"/>
    <w:pPr>
      <w:autoSpaceDE w:val="0"/>
      <w:autoSpaceDN w:val="0"/>
      <w:adjustRightInd w:val="0"/>
      <w:spacing w:after="0" w:line="360" w:lineRule="auto"/>
      <w:jc w:val="both"/>
    </w:pPr>
    <w:rPr>
      <w:rFonts w:ascii="Times New Roman" w:hAnsi="Times New Roman" w:cs="TimesNewRoman"/>
      <w:sz w:val="24"/>
      <w:szCs w:val="24"/>
    </w:rPr>
  </w:style>
  <w:style w:type="character" w:customStyle="1" w:styleId="TextChar">
    <w:name w:val="Text Char"/>
    <w:basedOn w:val="DefaultParagraphFont"/>
    <w:link w:val="Text"/>
    <w:rsid w:val="009A612A"/>
    <w:rPr>
      <w:rFonts w:ascii="Times New Roman" w:hAnsi="Times New Roman" w:cs="TimesNewRoman"/>
      <w:sz w:val="24"/>
      <w:szCs w:val="24"/>
    </w:rPr>
  </w:style>
  <w:style w:type="paragraph" w:styleId="BalloonText">
    <w:name w:val="Balloon Text"/>
    <w:basedOn w:val="Normal"/>
    <w:link w:val="BalloonTextChar"/>
    <w:uiPriority w:val="99"/>
    <w:semiHidden/>
    <w:unhideWhenUsed/>
    <w:rsid w:val="00C72E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E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idency.edu.bd/uploads/Article018.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doi.org/10.1155/2023/711718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dx.doi.org/10.11648/j.ajam.20150306.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Analytical Techniques</cp:lastModifiedBy>
  <cp:revision>2</cp:revision>
  <dcterms:created xsi:type="dcterms:W3CDTF">2023-05-20T06:00:00Z</dcterms:created>
  <dcterms:modified xsi:type="dcterms:W3CDTF">2023-05-20T06:00:00Z</dcterms:modified>
</cp:coreProperties>
</file>