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471AE">
      <w:pPr>
        <w:rPr>
          <w:rFonts w:ascii="Times New Roman" w:hAnsi="Times New Roman" w:cs="Times New Roman"/>
          <w:b/>
          <w:sz w:val="32"/>
        </w:rPr>
      </w:pPr>
      <w:r w:rsidRPr="005471AE">
        <w:rPr>
          <w:rFonts w:ascii="Times New Roman" w:hAnsi="Times New Roman" w:cs="Times New Roman"/>
          <w:b/>
          <w:sz w:val="32"/>
        </w:rPr>
        <w:t>Impact of lens characteristics on intraocular lens dis</w:t>
      </w:r>
      <w:r>
        <w:rPr>
          <w:rFonts w:ascii="Times New Roman" w:hAnsi="Times New Roman" w:cs="Times New Roman"/>
          <w:b/>
          <w:sz w:val="32"/>
        </w:rPr>
        <w:t>location after cataract surgery:</w:t>
      </w:r>
      <w:r w:rsidRPr="005471AE">
        <w:rPr>
          <w:rFonts w:ascii="Times New Roman" w:hAnsi="Times New Roman" w:cs="Times New Roman"/>
          <w:b/>
          <w:sz w:val="32"/>
        </w:rPr>
        <w:t xml:space="preserve"> A population study</w:t>
      </w:r>
    </w:p>
    <w:p w:rsidR="005471AE" w:rsidRDefault="005471AE">
      <w:pPr>
        <w:rPr>
          <w:rFonts w:ascii="Times New Roman" w:hAnsi="Times New Roman" w:cs="Times New Roman"/>
          <w:sz w:val="24"/>
        </w:rPr>
      </w:pPr>
      <w:proofErr w:type="spellStart"/>
      <w:r w:rsidRPr="005471AE">
        <w:rPr>
          <w:rFonts w:ascii="Times New Roman" w:hAnsi="Times New Roman" w:cs="Times New Roman"/>
          <w:sz w:val="24"/>
        </w:rPr>
        <w:t>Amalia</w:t>
      </w:r>
      <w:proofErr w:type="spellEnd"/>
      <w:r w:rsidRPr="005471AE">
        <w:rPr>
          <w:rFonts w:ascii="Times New Roman" w:hAnsi="Times New Roman" w:cs="Times New Roman"/>
          <w:sz w:val="24"/>
        </w:rPr>
        <w:t xml:space="preserve"> </w:t>
      </w:r>
      <w:proofErr w:type="spellStart"/>
      <w:r w:rsidRPr="005471AE">
        <w:rPr>
          <w:rFonts w:ascii="Times New Roman" w:hAnsi="Times New Roman" w:cs="Times New Roman"/>
          <w:sz w:val="24"/>
        </w:rPr>
        <w:t>Mester</w:t>
      </w:r>
      <w:proofErr w:type="spellEnd"/>
    </w:p>
    <w:p w:rsidR="005471AE" w:rsidRPr="005471AE" w:rsidRDefault="005471AE">
      <w:pPr>
        <w:rPr>
          <w:rFonts w:ascii="Times New Roman" w:hAnsi="Times New Roman" w:cs="Times New Roman"/>
        </w:rPr>
      </w:pPr>
      <w:r w:rsidRPr="005471AE">
        <w:rPr>
          <w:rFonts w:ascii="Times New Roman" w:hAnsi="Times New Roman" w:cs="Times New Roman"/>
        </w:rPr>
        <w:t xml:space="preserve">LKH </w:t>
      </w:r>
      <w:proofErr w:type="spellStart"/>
      <w:r w:rsidRPr="005471AE">
        <w:rPr>
          <w:rFonts w:ascii="Times New Roman" w:hAnsi="Times New Roman" w:cs="Times New Roman"/>
        </w:rPr>
        <w:t>Hochsteiermark</w:t>
      </w:r>
      <w:proofErr w:type="spellEnd"/>
      <w:r w:rsidRPr="005471AE">
        <w:rPr>
          <w:rFonts w:ascii="Times New Roman" w:hAnsi="Times New Roman" w:cs="Times New Roman"/>
        </w:rPr>
        <w:t>, Austria</w:t>
      </w:r>
    </w:p>
    <w:p w:rsidR="005471AE" w:rsidRPr="005471AE" w:rsidRDefault="005471AE" w:rsidP="005471AE">
      <w:pPr>
        <w:jc w:val="center"/>
        <w:rPr>
          <w:rFonts w:ascii="Times New Roman" w:hAnsi="Times New Roman" w:cs="Times New Roman"/>
          <w:b/>
          <w:sz w:val="24"/>
        </w:rPr>
      </w:pPr>
      <w:r w:rsidRPr="005471AE">
        <w:rPr>
          <w:rFonts w:ascii="Times New Roman" w:hAnsi="Times New Roman" w:cs="Times New Roman"/>
          <w:b/>
          <w:sz w:val="24"/>
        </w:rPr>
        <w:t>Abstract</w:t>
      </w:r>
    </w:p>
    <w:p w:rsidR="005471AE" w:rsidRPr="005471AE" w:rsidRDefault="005471AE" w:rsidP="005471AE">
      <w:pPr>
        <w:jc w:val="both"/>
        <w:rPr>
          <w:rFonts w:ascii="Times New Roman" w:hAnsi="Times New Roman" w:cs="Times New Roman"/>
          <w:sz w:val="20"/>
        </w:rPr>
      </w:pPr>
      <w:r w:rsidRPr="005471AE">
        <w:rPr>
          <w:rFonts w:ascii="Times New Roman" w:hAnsi="Times New Roman" w:cs="Times New Roman"/>
          <w:b/>
          <w:sz w:val="20"/>
        </w:rPr>
        <w:t>Purpose:</w:t>
      </w:r>
      <w:r w:rsidRPr="005471AE">
        <w:rPr>
          <w:rFonts w:ascii="Times New Roman" w:hAnsi="Times New Roman" w:cs="Times New Roman"/>
          <w:sz w:val="20"/>
        </w:rPr>
        <w:t xml:space="preserve"> To assess and identify the impact of </w:t>
      </w:r>
      <w:r w:rsidRPr="005471AE">
        <w:rPr>
          <w:rFonts w:ascii="Times New Roman" w:hAnsi="Times New Roman" w:cs="Times New Roman"/>
          <w:sz w:val="20"/>
        </w:rPr>
        <w:t>Intra</w:t>
      </w:r>
      <w:r>
        <w:rPr>
          <w:rFonts w:ascii="Times New Roman" w:hAnsi="Times New Roman" w:cs="Times New Roman"/>
          <w:sz w:val="20"/>
        </w:rPr>
        <w:t xml:space="preserve"> </w:t>
      </w:r>
      <w:r w:rsidRPr="005471AE">
        <w:rPr>
          <w:rFonts w:ascii="Times New Roman" w:hAnsi="Times New Roman" w:cs="Times New Roman"/>
          <w:sz w:val="20"/>
        </w:rPr>
        <w:t xml:space="preserve">Ocular Lens </w:t>
      </w:r>
      <w:r w:rsidRPr="005471AE">
        <w:rPr>
          <w:rFonts w:ascii="Times New Roman" w:hAnsi="Times New Roman" w:cs="Times New Roman"/>
          <w:sz w:val="20"/>
        </w:rPr>
        <w:t>(IOL) characteristics on IOL dislocations after cataract surgery.</w:t>
      </w:r>
    </w:p>
    <w:p w:rsidR="005471AE" w:rsidRPr="005471AE" w:rsidRDefault="005471AE" w:rsidP="005471AE">
      <w:pPr>
        <w:jc w:val="both"/>
        <w:rPr>
          <w:rFonts w:ascii="Times New Roman" w:hAnsi="Times New Roman" w:cs="Times New Roman"/>
          <w:sz w:val="20"/>
        </w:rPr>
      </w:pPr>
      <w:r w:rsidRPr="005471AE">
        <w:rPr>
          <w:rFonts w:ascii="Times New Roman" w:hAnsi="Times New Roman" w:cs="Times New Roman"/>
          <w:b/>
          <w:sz w:val="20"/>
        </w:rPr>
        <w:t xml:space="preserve">Methodology &amp; </w:t>
      </w:r>
      <w:r w:rsidRPr="005471AE">
        <w:rPr>
          <w:rFonts w:ascii="Times New Roman" w:hAnsi="Times New Roman" w:cs="Times New Roman"/>
          <w:b/>
          <w:sz w:val="20"/>
        </w:rPr>
        <w:t>theoretical orientation</w:t>
      </w:r>
      <w:r w:rsidRPr="005471AE">
        <w:rPr>
          <w:rFonts w:ascii="Times New Roman" w:hAnsi="Times New Roman" w:cs="Times New Roman"/>
          <w:b/>
          <w:sz w:val="20"/>
        </w:rPr>
        <w:t>:</w:t>
      </w:r>
      <w:r w:rsidRPr="005471AE">
        <w:rPr>
          <w:rFonts w:ascii="Times New Roman" w:hAnsi="Times New Roman" w:cs="Times New Roman"/>
          <w:sz w:val="20"/>
        </w:rPr>
        <w:t xml:space="preserve"> C</w:t>
      </w:r>
      <w:bookmarkStart w:id="0" w:name="_GoBack"/>
      <w:bookmarkEnd w:id="0"/>
      <w:r w:rsidRPr="005471AE">
        <w:rPr>
          <w:rFonts w:ascii="Times New Roman" w:hAnsi="Times New Roman" w:cs="Times New Roman"/>
          <w:sz w:val="20"/>
        </w:rPr>
        <w:t>ox proportional-hazard regression models were used to retrospectively assess the influence of IOL characteristics on IOL dislocations. Patients that underwent cataract surgery at the Medical University Graz (Austria) between 1996 and 2017 were included.</w:t>
      </w:r>
    </w:p>
    <w:p w:rsidR="005471AE" w:rsidRPr="005471AE" w:rsidRDefault="005471AE" w:rsidP="005471AE">
      <w:pPr>
        <w:jc w:val="both"/>
        <w:rPr>
          <w:rFonts w:ascii="Times New Roman" w:hAnsi="Times New Roman" w:cs="Times New Roman"/>
          <w:sz w:val="20"/>
        </w:rPr>
      </w:pPr>
      <w:r w:rsidRPr="005471AE">
        <w:rPr>
          <w:rFonts w:ascii="Times New Roman" w:hAnsi="Times New Roman" w:cs="Times New Roman"/>
          <w:b/>
          <w:sz w:val="20"/>
        </w:rPr>
        <w:t>Findings:</w:t>
      </w:r>
      <w:r w:rsidRPr="005471AE">
        <w:rPr>
          <w:rFonts w:ascii="Times New Roman" w:hAnsi="Times New Roman" w:cs="Times New Roman"/>
          <w:sz w:val="20"/>
        </w:rPr>
        <w:t xml:space="preserve"> 68 199 eyes of 46 632 patients (60.2% women, mean age: 73.71 SD ± 10.82 years) underwent uncomplicated phacoemulsification during the study period. 111 patients (0.16%) had </w:t>
      </w:r>
      <w:r w:rsidRPr="005471AE">
        <w:rPr>
          <w:rFonts w:ascii="Times New Roman" w:hAnsi="Times New Roman" w:cs="Times New Roman"/>
          <w:sz w:val="20"/>
        </w:rPr>
        <w:t>In</w:t>
      </w:r>
      <w:r w:rsidRPr="005471AE">
        <w:rPr>
          <w:rFonts w:ascii="Times New Roman" w:hAnsi="Times New Roman" w:cs="Times New Roman"/>
          <w:sz w:val="20"/>
        </w:rPr>
        <w:t>-</w:t>
      </w:r>
      <w:r w:rsidRPr="005471AE">
        <w:rPr>
          <w:rFonts w:ascii="Times New Roman" w:hAnsi="Times New Roman" w:cs="Times New Roman"/>
          <w:sz w:val="20"/>
        </w:rPr>
        <w:t>The</w:t>
      </w:r>
      <w:r w:rsidRPr="005471AE">
        <w:rPr>
          <w:rFonts w:ascii="Times New Roman" w:hAnsi="Times New Roman" w:cs="Times New Roman"/>
          <w:sz w:val="20"/>
        </w:rPr>
        <w:t>-</w:t>
      </w:r>
      <w:r w:rsidRPr="005471AE">
        <w:rPr>
          <w:rFonts w:ascii="Times New Roman" w:hAnsi="Times New Roman" w:cs="Times New Roman"/>
          <w:sz w:val="20"/>
        </w:rPr>
        <w:t xml:space="preserve">Bag </w:t>
      </w:r>
      <w:r w:rsidRPr="005471AE">
        <w:rPr>
          <w:rFonts w:ascii="Times New Roman" w:hAnsi="Times New Roman" w:cs="Times New Roman"/>
          <w:sz w:val="20"/>
        </w:rPr>
        <w:t xml:space="preserve">(ITB) and 35 (0.05%) </w:t>
      </w:r>
      <w:proofErr w:type="gramStart"/>
      <w:r w:rsidRPr="005471AE">
        <w:rPr>
          <w:rFonts w:ascii="Times New Roman" w:hAnsi="Times New Roman" w:cs="Times New Roman"/>
          <w:sz w:val="20"/>
        </w:rPr>
        <w:t>Out</w:t>
      </w:r>
      <w:r w:rsidRPr="005471AE">
        <w:rPr>
          <w:rFonts w:ascii="Times New Roman" w:hAnsi="Times New Roman" w:cs="Times New Roman"/>
          <w:sz w:val="20"/>
        </w:rPr>
        <w:t>-of-</w:t>
      </w:r>
      <w:r w:rsidRPr="005471AE">
        <w:rPr>
          <w:rFonts w:ascii="Times New Roman" w:hAnsi="Times New Roman" w:cs="Times New Roman"/>
          <w:sz w:val="20"/>
        </w:rPr>
        <w:t>The</w:t>
      </w:r>
      <w:r w:rsidRPr="005471AE">
        <w:rPr>
          <w:rFonts w:ascii="Times New Roman" w:hAnsi="Times New Roman" w:cs="Times New Roman"/>
          <w:sz w:val="20"/>
        </w:rPr>
        <w:t>-</w:t>
      </w:r>
      <w:r w:rsidRPr="005471AE">
        <w:rPr>
          <w:rFonts w:ascii="Times New Roman" w:hAnsi="Times New Roman" w:cs="Times New Roman"/>
          <w:sz w:val="20"/>
        </w:rPr>
        <w:t xml:space="preserve">Bag </w:t>
      </w:r>
      <w:r w:rsidRPr="005471AE">
        <w:rPr>
          <w:rFonts w:ascii="Times New Roman" w:hAnsi="Times New Roman" w:cs="Times New Roman"/>
          <w:sz w:val="20"/>
        </w:rPr>
        <w:t>(OTB) dislocations.</w:t>
      </w:r>
      <w:proofErr w:type="gramEnd"/>
      <w:r w:rsidRPr="005471AE">
        <w:rPr>
          <w:rFonts w:ascii="Times New Roman" w:hAnsi="Times New Roman" w:cs="Times New Roman"/>
          <w:sz w:val="20"/>
        </w:rPr>
        <w:t xml:space="preserve"> Hydrophilic IOLs (HR 2.35; 95% CI, 1.45-3.80), </w:t>
      </w:r>
      <w:proofErr w:type="spellStart"/>
      <w:r w:rsidRPr="005471AE">
        <w:rPr>
          <w:rFonts w:ascii="Times New Roman" w:hAnsi="Times New Roman" w:cs="Times New Roman"/>
          <w:sz w:val="20"/>
        </w:rPr>
        <w:t>quadrip</w:t>
      </w:r>
      <w:r>
        <w:rPr>
          <w:rFonts w:ascii="Times New Roman" w:hAnsi="Times New Roman" w:cs="Times New Roman"/>
          <w:sz w:val="20"/>
        </w:rPr>
        <w:t>ode</w:t>
      </w:r>
      <w:proofErr w:type="spellEnd"/>
      <w:r>
        <w:rPr>
          <w:rFonts w:ascii="Times New Roman" w:hAnsi="Times New Roman" w:cs="Times New Roman"/>
          <w:sz w:val="20"/>
        </w:rPr>
        <w:t xml:space="preserve"> IOLs (HR 2.01; 95% CI, 1.04–</w:t>
      </w:r>
      <w:r w:rsidRPr="005471AE">
        <w:rPr>
          <w:rFonts w:ascii="Times New Roman" w:hAnsi="Times New Roman" w:cs="Times New Roman"/>
          <w:sz w:val="20"/>
        </w:rPr>
        <w:t>3.86)</w:t>
      </w:r>
      <w:r w:rsidR="006D38C5">
        <w:rPr>
          <w:rFonts w:ascii="Times New Roman" w:hAnsi="Times New Roman" w:cs="Times New Roman"/>
          <w:sz w:val="20"/>
        </w:rPr>
        <w:t xml:space="preserve"> and</w:t>
      </w:r>
      <w:r w:rsidRPr="005471AE">
        <w:rPr>
          <w:rFonts w:ascii="Times New Roman" w:hAnsi="Times New Roman" w:cs="Times New Roman"/>
          <w:sz w:val="20"/>
        </w:rPr>
        <w:t xml:space="preserve"> haptic</w:t>
      </w:r>
      <w:r>
        <w:rPr>
          <w:rFonts w:ascii="Times New Roman" w:hAnsi="Times New Roman" w:cs="Times New Roman"/>
          <w:sz w:val="20"/>
        </w:rPr>
        <w:t xml:space="preserve"> angulation (HR 1.61, 95%, 1.04-</w:t>
      </w:r>
      <w:r w:rsidRPr="005471AE">
        <w:rPr>
          <w:rFonts w:ascii="Times New Roman" w:hAnsi="Times New Roman" w:cs="Times New Roman"/>
          <w:sz w:val="20"/>
        </w:rPr>
        <w:t>2.48) were associated with a higher risk. A lower risk was observed for three-pi</w:t>
      </w:r>
      <w:r>
        <w:rPr>
          <w:rFonts w:ascii="Times New Roman" w:hAnsi="Times New Roman" w:cs="Times New Roman"/>
          <w:sz w:val="20"/>
        </w:rPr>
        <w:t>ece-IOLs (HR 0.58, 95% CI, 0.34-</w:t>
      </w:r>
      <w:r w:rsidRPr="005471AE">
        <w:rPr>
          <w:rFonts w:ascii="Times New Roman" w:hAnsi="Times New Roman" w:cs="Times New Roman"/>
          <w:sz w:val="20"/>
        </w:rPr>
        <w:t>0.98) and larger overall IOL diameter (HR 0.79, 95% CI, 0.66-0.95). For OTB dislocations, the HR associated with a high</w:t>
      </w:r>
      <w:r>
        <w:rPr>
          <w:rFonts w:ascii="Times New Roman" w:hAnsi="Times New Roman" w:cs="Times New Roman"/>
          <w:sz w:val="20"/>
        </w:rPr>
        <w:t>er risk was 18.81 (95% CI, 5.84-</w:t>
      </w:r>
      <w:r w:rsidRPr="005471AE">
        <w:rPr>
          <w:rFonts w:ascii="Times New Roman" w:hAnsi="Times New Roman" w:cs="Times New Roman"/>
          <w:sz w:val="20"/>
        </w:rPr>
        <w:t>60.58) for silicone IOLs and 2.12</w:t>
      </w:r>
      <w:r>
        <w:rPr>
          <w:rFonts w:ascii="Times New Roman" w:hAnsi="Times New Roman" w:cs="Times New Roman"/>
          <w:sz w:val="20"/>
        </w:rPr>
        <w:t xml:space="preserve"> (95% CI, 0.62-</w:t>
      </w:r>
      <w:r w:rsidRPr="005471AE">
        <w:rPr>
          <w:rFonts w:ascii="Times New Roman" w:hAnsi="Times New Roman" w:cs="Times New Roman"/>
          <w:sz w:val="20"/>
        </w:rPr>
        <w:t xml:space="preserve">7.29) for hydrophilic. IOLs with a larger overall IOL </w:t>
      </w:r>
      <w:r>
        <w:rPr>
          <w:rFonts w:ascii="Times New Roman" w:hAnsi="Times New Roman" w:cs="Times New Roman"/>
          <w:sz w:val="20"/>
        </w:rPr>
        <w:t>diameter (HR 0.40, 95% CI; 0.25-</w:t>
      </w:r>
      <w:r w:rsidRPr="005471AE">
        <w:rPr>
          <w:rFonts w:ascii="Times New Roman" w:hAnsi="Times New Roman" w:cs="Times New Roman"/>
          <w:sz w:val="20"/>
        </w:rPr>
        <w:t>0.63) showed a lower risk.</w:t>
      </w:r>
    </w:p>
    <w:p w:rsidR="005471AE" w:rsidRDefault="005471AE" w:rsidP="005471AE">
      <w:pPr>
        <w:jc w:val="both"/>
        <w:rPr>
          <w:rFonts w:ascii="Times New Roman" w:hAnsi="Times New Roman" w:cs="Times New Roman"/>
          <w:sz w:val="20"/>
        </w:rPr>
      </w:pPr>
      <w:r w:rsidRPr="005471AE">
        <w:rPr>
          <w:rFonts w:ascii="Times New Roman" w:hAnsi="Times New Roman" w:cs="Times New Roman"/>
          <w:b/>
          <w:sz w:val="20"/>
        </w:rPr>
        <w:t>Conclusion:</w:t>
      </w:r>
      <w:r w:rsidRPr="005471AE">
        <w:rPr>
          <w:rFonts w:ascii="Times New Roman" w:hAnsi="Times New Roman" w:cs="Times New Roman"/>
          <w:sz w:val="20"/>
        </w:rPr>
        <w:t xml:space="preserve"> Hydrophilic IOLs, </w:t>
      </w:r>
      <w:proofErr w:type="spellStart"/>
      <w:r w:rsidRPr="005471AE">
        <w:rPr>
          <w:rFonts w:ascii="Times New Roman" w:hAnsi="Times New Roman" w:cs="Times New Roman"/>
          <w:sz w:val="20"/>
        </w:rPr>
        <w:t>quadripode</w:t>
      </w:r>
      <w:proofErr w:type="spellEnd"/>
      <w:r w:rsidRPr="005471AE">
        <w:rPr>
          <w:rFonts w:ascii="Times New Roman" w:hAnsi="Times New Roman" w:cs="Times New Roman"/>
          <w:sz w:val="20"/>
        </w:rPr>
        <w:t xml:space="preserve"> IOLs</w:t>
      </w:r>
      <w:r w:rsidR="006D38C5">
        <w:rPr>
          <w:rFonts w:ascii="Times New Roman" w:hAnsi="Times New Roman" w:cs="Times New Roman"/>
          <w:sz w:val="20"/>
        </w:rPr>
        <w:t xml:space="preserve"> and</w:t>
      </w:r>
      <w:r w:rsidRPr="005471AE">
        <w:rPr>
          <w:rFonts w:ascii="Times New Roman" w:hAnsi="Times New Roman" w:cs="Times New Roman"/>
          <w:sz w:val="20"/>
        </w:rPr>
        <w:t xml:space="preserve"> haptic angulation IOLs showed an increased risk for ITB dislocations. Three-piece IOLs and a larger overall diameter were associated with a lower risk. Risk factors for OTB dislocations were silicone IOLs, hydrophilic IOLs and a smaller overall IOL diameter.</w:t>
      </w:r>
    </w:p>
    <w:p w:rsidR="005471AE" w:rsidRPr="005471AE" w:rsidRDefault="005471AE" w:rsidP="005471AE">
      <w:pPr>
        <w:rPr>
          <w:rFonts w:ascii="Times New Roman" w:hAnsi="Times New Roman" w:cs="Times New Roman"/>
          <w:b/>
          <w:sz w:val="24"/>
        </w:rPr>
      </w:pPr>
      <w:r w:rsidRPr="005471AE">
        <w:rPr>
          <w:rFonts w:ascii="Times New Roman" w:hAnsi="Times New Roman" w:cs="Times New Roman"/>
          <w:b/>
          <w:sz w:val="24"/>
        </w:rPr>
        <w:t>Biography</w:t>
      </w:r>
    </w:p>
    <w:p w:rsidR="005471AE" w:rsidRPr="005471AE" w:rsidRDefault="005471AE" w:rsidP="005471AE">
      <w:pPr>
        <w:jc w:val="both"/>
        <w:rPr>
          <w:rFonts w:ascii="Times New Roman" w:hAnsi="Times New Roman" w:cs="Times New Roman"/>
          <w:sz w:val="20"/>
        </w:rPr>
      </w:pPr>
      <w:proofErr w:type="spellStart"/>
      <w:r w:rsidRPr="005471AE">
        <w:rPr>
          <w:rFonts w:ascii="Times New Roman" w:hAnsi="Times New Roman" w:cs="Times New Roman"/>
          <w:sz w:val="20"/>
        </w:rPr>
        <w:t>Amalia</w:t>
      </w:r>
      <w:proofErr w:type="spellEnd"/>
      <w:r w:rsidRPr="005471AE">
        <w:rPr>
          <w:rFonts w:ascii="Times New Roman" w:hAnsi="Times New Roman" w:cs="Times New Roman"/>
          <w:sz w:val="20"/>
        </w:rPr>
        <w:t xml:space="preserve"> </w:t>
      </w:r>
      <w:proofErr w:type="spellStart"/>
      <w:r w:rsidRPr="005471AE">
        <w:rPr>
          <w:rFonts w:ascii="Times New Roman" w:hAnsi="Times New Roman" w:cs="Times New Roman"/>
          <w:sz w:val="20"/>
        </w:rPr>
        <w:t>Mester</w:t>
      </w:r>
      <w:proofErr w:type="spellEnd"/>
      <w:r w:rsidRPr="005471AE">
        <w:rPr>
          <w:rFonts w:ascii="Times New Roman" w:hAnsi="Times New Roman" w:cs="Times New Roman"/>
          <w:sz w:val="20"/>
        </w:rPr>
        <w:t xml:space="preserve"> is an ophthalmologist from </w:t>
      </w:r>
      <w:proofErr w:type="spellStart"/>
      <w:r w:rsidRPr="005471AE">
        <w:rPr>
          <w:rFonts w:ascii="Times New Roman" w:hAnsi="Times New Roman" w:cs="Times New Roman"/>
          <w:sz w:val="20"/>
        </w:rPr>
        <w:t>Bruck</w:t>
      </w:r>
      <w:proofErr w:type="spellEnd"/>
      <w:r w:rsidRPr="005471AE">
        <w:rPr>
          <w:rFonts w:ascii="Times New Roman" w:hAnsi="Times New Roman" w:cs="Times New Roman"/>
          <w:sz w:val="20"/>
        </w:rPr>
        <w:t>/Mur, Austria. She is currently completing her residency.</w:t>
      </w:r>
    </w:p>
    <w:sectPr w:rsidR="005471AE" w:rsidRPr="005471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1AE"/>
    <w:rsid w:val="0032354D"/>
    <w:rsid w:val="003773E3"/>
    <w:rsid w:val="00474203"/>
    <w:rsid w:val="00535872"/>
    <w:rsid w:val="005471AE"/>
    <w:rsid w:val="006D38C5"/>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2023-02-15T09:23:00Z</dcterms:created>
  <dcterms:modified xsi:type="dcterms:W3CDTF">2023-02-15T10:02:00Z</dcterms:modified>
</cp:coreProperties>
</file>