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11177">
      <w:pPr>
        <w:rPr>
          <w:rFonts w:ascii="Times New Roman" w:hAnsi="Times New Roman" w:cs="Times New Roman"/>
          <w:b/>
          <w:sz w:val="32"/>
        </w:rPr>
      </w:pPr>
      <w:bookmarkStart w:id="0" w:name="_GoBack"/>
      <w:r w:rsidRPr="00611177">
        <w:rPr>
          <w:rFonts w:ascii="Times New Roman" w:hAnsi="Times New Roman" w:cs="Times New Roman"/>
          <w:b/>
          <w:sz w:val="32"/>
        </w:rPr>
        <w:t xml:space="preserve">The efficacy and safety of combined phacoemulsification and </w:t>
      </w:r>
      <w:proofErr w:type="spellStart"/>
      <w:r w:rsidRPr="00611177">
        <w:rPr>
          <w:rFonts w:ascii="Times New Roman" w:hAnsi="Times New Roman" w:cs="Times New Roman"/>
          <w:b/>
          <w:sz w:val="32"/>
        </w:rPr>
        <w:t>trabeculectomy</w:t>
      </w:r>
      <w:proofErr w:type="spellEnd"/>
      <w:r w:rsidRPr="00611177">
        <w:rPr>
          <w:rFonts w:ascii="Times New Roman" w:hAnsi="Times New Roman" w:cs="Times New Roman"/>
          <w:b/>
          <w:sz w:val="32"/>
        </w:rPr>
        <w:t xml:space="preserve"> in late advanced stage of primary glaucoma: </w:t>
      </w:r>
      <w:r>
        <w:rPr>
          <w:rFonts w:ascii="Times New Roman" w:hAnsi="Times New Roman" w:cs="Times New Roman"/>
          <w:b/>
          <w:sz w:val="32"/>
        </w:rPr>
        <w:t>A</w:t>
      </w:r>
      <w:r w:rsidRPr="00611177">
        <w:rPr>
          <w:rFonts w:ascii="Times New Roman" w:hAnsi="Times New Roman" w:cs="Times New Roman"/>
          <w:b/>
          <w:sz w:val="32"/>
        </w:rPr>
        <w:t xml:space="preserve"> 12 months follow up</w:t>
      </w:r>
    </w:p>
    <w:p w:rsidR="00611177" w:rsidRDefault="00611177">
      <w:pPr>
        <w:rPr>
          <w:rFonts w:ascii="Times New Roman" w:hAnsi="Times New Roman" w:cs="Times New Roman"/>
          <w:sz w:val="24"/>
        </w:rPr>
      </w:pPr>
      <w:proofErr w:type="spellStart"/>
      <w:r w:rsidRPr="00611177">
        <w:rPr>
          <w:rFonts w:ascii="Times New Roman" w:hAnsi="Times New Roman" w:cs="Times New Roman"/>
          <w:sz w:val="24"/>
        </w:rPr>
        <w:t>Widya</w:t>
      </w:r>
      <w:proofErr w:type="spellEnd"/>
      <w:r w:rsidRPr="00611177">
        <w:rPr>
          <w:rFonts w:ascii="Times New Roman" w:hAnsi="Times New Roman" w:cs="Times New Roman"/>
          <w:sz w:val="24"/>
        </w:rPr>
        <w:t xml:space="preserve"> </w:t>
      </w:r>
      <w:proofErr w:type="spellStart"/>
      <w:r w:rsidRPr="00611177">
        <w:rPr>
          <w:rFonts w:ascii="Times New Roman" w:hAnsi="Times New Roman" w:cs="Times New Roman"/>
          <w:sz w:val="24"/>
        </w:rPr>
        <w:t>Artini</w:t>
      </w:r>
      <w:proofErr w:type="spellEnd"/>
      <w:r w:rsidRPr="00611177">
        <w:rPr>
          <w:rFonts w:ascii="Times New Roman" w:hAnsi="Times New Roman" w:cs="Times New Roman"/>
          <w:sz w:val="24"/>
        </w:rPr>
        <w:t xml:space="preserve"> </w:t>
      </w:r>
      <w:proofErr w:type="spellStart"/>
      <w:r w:rsidRPr="00611177">
        <w:rPr>
          <w:rFonts w:ascii="Times New Roman" w:hAnsi="Times New Roman" w:cs="Times New Roman"/>
          <w:sz w:val="24"/>
        </w:rPr>
        <w:t>Wiyogo</w:t>
      </w:r>
      <w:proofErr w:type="spellEnd"/>
    </w:p>
    <w:p w:rsidR="00611177" w:rsidRPr="00611177" w:rsidRDefault="00611177">
      <w:pPr>
        <w:rPr>
          <w:rFonts w:ascii="Times New Roman" w:hAnsi="Times New Roman" w:cs="Times New Roman"/>
        </w:rPr>
      </w:pPr>
      <w:r w:rsidRPr="00611177">
        <w:rPr>
          <w:rFonts w:ascii="Times New Roman" w:hAnsi="Times New Roman" w:cs="Times New Roman"/>
        </w:rPr>
        <w:t>University of Indonesia, Indonesia</w:t>
      </w:r>
    </w:p>
    <w:p w:rsidR="00611177" w:rsidRPr="00611177" w:rsidRDefault="00611177" w:rsidP="00611177">
      <w:pPr>
        <w:jc w:val="center"/>
        <w:rPr>
          <w:rFonts w:ascii="Times New Roman" w:hAnsi="Times New Roman" w:cs="Times New Roman"/>
          <w:b/>
          <w:sz w:val="24"/>
        </w:rPr>
      </w:pPr>
      <w:r w:rsidRPr="00611177">
        <w:rPr>
          <w:rFonts w:ascii="Times New Roman" w:hAnsi="Times New Roman" w:cs="Times New Roman"/>
          <w:b/>
          <w:sz w:val="24"/>
        </w:rPr>
        <w:t>Abstract</w:t>
      </w:r>
    </w:p>
    <w:p w:rsidR="00611177" w:rsidRPr="00611177" w:rsidRDefault="00611177" w:rsidP="00611177">
      <w:pPr>
        <w:jc w:val="both"/>
        <w:rPr>
          <w:rFonts w:ascii="Times New Roman" w:hAnsi="Times New Roman" w:cs="Times New Roman"/>
          <w:sz w:val="20"/>
        </w:rPr>
      </w:pPr>
      <w:r w:rsidRPr="00611177">
        <w:rPr>
          <w:rFonts w:ascii="Times New Roman" w:hAnsi="Times New Roman" w:cs="Times New Roman"/>
          <w:b/>
          <w:sz w:val="20"/>
        </w:rPr>
        <w:t>Purpose:</w:t>
      </w:r>
      <w:r w:rsidRPr="00611177">
        <w:rPr>
          <w:rFonts w:ascii="Times New Roman" w:hAnsi="Times New Roman" w:cs="Times New Roman"/>
          <w:sz w:val="20"/>
        </w:rPr>
        <w:t xml:space="preserve"> </w:t>
      </w:r>
      <w:r w:rsidRPr="00611177">
        <w:rPr>
          <w:rFonts w:ascii="Times New Roman" w:hAnsi="Times New Roman" w:cs="Times New Roman"/>
          <w:sz w:val="20"/>
        </w:rPr>
        <w:t xml:space="preserve">To evaluate the efficacy and safety, described in </w:t>
      </w:r>
      <w:r w:rsidRPr="00611177">
        <w:rPr>
          <w:rFonts w:ascii="Times New Roman" w:hAnsi="Times New Roman" w:cs="Times New Roman"/>
          <w:sz w:val="20"/>
        </w:rPr>
        <w:t>Intra</w:t>
      </w:r>
      <w:r>
        <w:rPr>
          <w:rFonts w:ascii="Times New Roman" w:hAnsi="Times New Roman" w:cs="Times New Roman"/>
          <w:sz w:val="20"/>
        </w:rPr>
        <w:t>-</w:t>
      </w:r>
      <w:r w:rsidRPr="00611177">
        <w:rPr>
          <w:rFonts w:ascii="Times New Roman" w:hAnsi="Times New Roman" w:cs="Times New Roman"/>
          <w:sz w:val="20"/>
        </w:rPr>
        <w:t xml:space="preserve">Ocular Pressure </w:t>
      </w:r>
      <w:r w:rsidRPr="00611177">
        <w:rPr>
          <w:rFonts w:ascii="Times New Roman" w:hAnsi="Times New Roman" w:cs="Times New Roman"/>
          <w:sz w:val="20"/>
        </w:rPr>
        <w:t xml:space="preserve">(IOP) and vision-threatening complication, respectively, after combined phacoemulsification and </w:t>
      </w:r>
      <w:proofErr w:type="spellStart"/>
      <w:r w:rsidRPr="00611177">
        <w:rPr>
          <w:rFonts w:ascii="Times New Roman" w:hAnsi="Times New Roman" w:cs="Times New Roman"/>
          <w:sz w:val="20"/>
        </w:rPr>
        <w:t>ab</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interno</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trabeculectomy</w:t>
      </w:r>
      <w:proofErr w:type="spellEnd"/>
      <w:r w:rsidRPr="00611177">
        <w:rPr>
          <w:rFonts w:ascii="Times New Roman" w:hAnsi="Times New Roman" w:cs="Times New Roman"/>
          <w:sz w:val="20"/>
        </w:rPr>
        <w:t xml:space="preserve"> in adults with late-advanced stage primary glaucoma in Indonesia</w:t>
      </w:r>
      <w:r w:rsidR="0096338B">
        <w:rPr>
          <w:rFonts w:ascii="Times New Roman" w:hAnsi="Times New Roman" w:cs="Times New Roman"/>
          <w:sz w:val="20"/>
        </w:rPr>
        <w:t>.</w:t>
      </w:r>
    </w:p>
    <w:p w:rsidR="00611177" w:rsidRPr="00611177" w:rsidRDefault="00611177" w:rsidP="00611177">
      <w:pPr>
        <w:jc w:val="both"/>
        <w:rPr>
          <w:rFonts w:ascii="Times New Roman" w:hAnsi="Times New Roman" w:cs="Times New Roman"/>
          <w:sz w:val="20"/>
        </w:rPr>
      </w:pPr>
      <w:r w:rsidRPr="00611177">
        <w:rPr>
          <w:rFonts w:ascii="Times New Roman" w:hAnsi="Times New Roman" w:cs="Times New Roman"/>
          <w:b/>
          <w:sz w:val="20"/>
        </w:rPr>
        <w:t>Methods</w:t>
      </w:r>
      <w:r w:rsidRPr="00611177">
        <w:rPr>
          <w:rFonts w:ascii="Times New Roman" w:hAnsi="Times New Roman" w:cs="Times New Roman"/>
          <w:b/>
          <w:sz w:val="20"/>
        </w:rPr>
        <w:t>:</w:t>
      </w:r>
      <w:r w:rsidRPr="00611177">
        <w:rPr>
          <w:rFonts w:ascii="Times New Roman" w:hAnsi="Times New Roman" w:cs="Times New Roman"/>
          <w:sz w:val="20"/>
        </w:rPr>
        <w:t xml:space="preserve"> </w:t>
      </w:r>
      <w:r w:rsidRPr="00611177">
        <w:rPr>
          <w:rFonts w:ascii="Times New Roman" w:hAnsi="Times New Roman" w:cs="Times New Roman"/>
          <w:sz w:val="20"/>
        </w:rPr>
        <w:t>The medical records of selected patients were retrospectively reviewed. Data collection included IOP, visual acuity, visual field, optic disc ratio, reti</w:t>
      </w:r>
      <w:r>
        <w:rPr>
          <w:rFonts w:ascii="Times New Roman" w:hAnsi="Times New Roman" w:cs="Times New Roman"/>
          <w:sz w:val="20"/>
        </w:rPr>
        <w:t>nal nerve fiber layer thickness</w:t>
      </w:r>
      <w:r w:rsidRPr="00611177">
        <w:rPr>
          <w:rFonts w:ascii="Times New Roman" w:hAnsi="Times New Roman" w:cs="Times New Roman"/>
          <w:sz w:val="20"/>
        </w:rPr>
        <w:t xml:space="preserve"> and IOP lowering </w:t>
      </w:r>
      <w:r w:rsidRPr="00611177">
        <w:rPr>
          <w:rFonts w:ascii="Times New Roman" w:hAnsi="Times New Roman" w:cs="Times New Roman"/>
          <w:sz w:val="20"/>
        </w:rPr>
        <w:t>medication used preoperatively and through up to 12 months posts</w:t>
      </w:r>
      <w:r w:rsidRPr="00611177">
        <w:rPr>
          <w:rFonts w:ascii="Times New Roman" w:hAnsi="Times New Roman" w:cs="Times New Roman"/>
          <w:sz w:val="20"/>
        </w:rPr>
        <w:t xml:space="preserve"> operatively. Complications, if any, were also noted. Paired T test and Wilcoxon tests were utilized to analyze the result.</w:t>
      </w:r>
    </w:p>
    <w:p w:rsidR="00611177" w:rsidRPr="00611177" w:rsidRDefault="00611177" w:rsidP="00611177">
      <w:pPr>
        <w:jc w:val="both"/>
        <w:rPr>
          <w:rFonts w:ascii="Times New Roman" w:hAnsi="Times New Roman" w:cs="Times New Roman"/>
          <w:sz w:val="20"/>
        </w:rPr>
      </w:pPr>
      <w:r w:rsidRPr="00611177">
        <w:rPr>
          <w:rFonts w:ascii="Times New Roman" w:hAnsi="Times New Roman" w:cs="Times New Roman"/>
          <w:b/>
          <w:sz w:val="20"/>
        </w:rPr>
        <w:t>Results</w:t>
      </w:r>
      <w:r w:rsidRPr="00611177">
        <w:rPr>
          <w:rFonts w:ascii="Times New Roman" w:hAnsi="Times New Roman" w:cs="Times New Roman"/>
          <w:b/>
          <w:sz w:val="20"/>
        </w:rPr>
        <w:t>:</w:t>
      </w:r>
      <w:r w:rsidRPr="00611177">
        <w:rPr>
          <w:rFonts w:ascii="Times New Roman" w:hAnsi="Times New Roman" w:cs="Times New Roman"/>
          <w:sz w:val="20"/>
        </w:rPr>
        <w:t xml:space="preserve"> </w:t>
      </w:r>
      <w:r w:rsidRPr="00611177">
        <w:rPr>
          <w:rFonts w:ascii="Times New Roman" w:hAnsi="Times New Roman" w:cs="Times New Roman"/>
          <w:sz w:val="20"/>
        </w:rPr>
        <w:t xml:space="preserve">Data from 47 eyes of 40 subjects were analyzed. Majority of the subjects were male (52.5%/47.5%) with mean age of 62.60 ± 9.95 years and most had primary open angle glaucoma compared to primary angle closure glaucoma (62.5% </w:t>
      </w:r>
      <w:r w:rsidRPr="00611177">
        <w:rPr>
          <w:rFonts w:ascii="Times New Roman" w:hAnsi="Times New Roman" w:cs="Times New Roman"/>
          <w:i/>
          <w:sz w:val="20"/>
        </w:rPr>
        <w:t>vs</w:t>
      </w:r>
      <w:r w:rsidRPr="00611177">
        <w:rPr>
          <w:rFonts w:ascii="Times New Roman" w:hAnsi="Times New Roman" w:cs="Times New Roman"/>
          <w:i/>
          <w:sz w:val="20"/>
        </w:rPr>
        <w:t>.</w:t>
      </w:r>
      <w:r w:rsidRPr="00611177">
        <w:rPr>
          <w:rFonts w:ascii="Times New Roman" w:hAnsi="Times New Roman" w:cs="Times New Roman"/>
          <w:sz w:val="20"/>
        </w:rPr>
        <w:t xml:space="preserve"> 37.5%). </w:t>
      </w:r>
    </w:p>
    <w:p w:rsidR="00611177" w:rsidRDefault="00611177" w:rsidP="00611177">
      <w:pPr>
        <w:jc w:val="both"/>
        <w:rPr>
          <w:rFonts w:ascii="Times New Roman" w:hAnsi="Times New Roman" w:cs="Times New Roman"/>
          <w:sz w:val="20"/>
        </w:rPr>
      </w:pPr>
      <w:r w:rsidRPr="00611177">
        <w:rPr>
          <w:rFonts w:ascii="Times New Roman" w:hAnsi="Times New Roman" w:cs="Times New Roman"/>
          <w:sz w:val="20"/>
        </w:rPr>
        <w:t>The mean visual field deviation (dB) was -22.68 ± 6.90 at baseline and -23.32 ± 7.04 post operatively. Mean IOP (mmHg) was 29.08 ± 11.39 at base line and 15.11 ± 6.40 after mean follow up of 12 months. IOP reductions of ≥ 20% were achieved in 41/47 eyes (87.2%) with mean IOP reduction of 43%. Mean medication use declined from 3.91 ± 1.25 medications per eye at baseline to 1.38 ± 1.21 at last follow-up (p&lt;0.0001) and mean IOP lowering medication reduction of 66% after mean follow-up of 12 months. Sixteen out of 47 eyes (34%) were medication-free at last follow-up. No vision-threatening complications were observed.</w:t>
      </w:r>
    </w:p>
    <w:p w:rsidR="00611177" w:rsidRDefault="00611177" w:rsidP="00611177">
      <w:pPr>
        <w:jc w:val="both"/>
        <w:rPr>
          <w:rFonts w:ascii="Times New Roman" w:hAnsi="Times New Roman" w:cs="Times New Roman"/>
          <w:sz w:val="20"/>
        </w:rPr>
      </w:pPr>
      <w:r w:rsidRPr="00611177">
        <w:rPr>
          <w:rFonts w:ascii="Times New Roman" w:hAnsi="Times New Roman" w:cs="Times New Roman"/>
          <w:b/>
          <w:sz w:val="20"/>
        </w:rPr>
        <w:t>Conclusion:</w:t>
      </w:r>
      <w:r w:rsidRPr="00611177">
        <w:rPr>
          <w:rFonts w:ascii="Times New Roman" w:hAnsi="Times New Roman" w:cs="Times New Roman"/>
          <w:sz w:val="20"/>
        </w:rPr>
        <w:t xml:space="preserve"> </w:t>
      </w:r>
      <w:r w:rsidRPr="00611177">
        <w:rPr>
          <w:rFonts w:ascii="Times New Roman" w:hAnsi="Times New Roman" w:cs="Times New Roman"/>
          <w:sz w:val="20"/>
        </w:rPr>
        <w:t xml:space="preserve">Combined phacoemulsification and </w:t>
      </w:r>
      <w:proofErr w:type="spellStart"/>
      <w:r w:rsidRPr="00611177">
        <w:rPr>
          <w:rFonts w:ascii="Times New Roman" w:hAnsi="Times New Roman" w:cs="Times New Roman"/>
          <w:sz w:val="20"/>
        </w:rPr>
        <w:t>ab</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interno</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trabeculectomy</w:t>
      </w:r>
      <w:proofErr w:type="spellEnd"/>
      <w:r w:rsidRPr="00611177">
        <w:rPr>
          <w:rFonts w:ascii="Times New Roman" w:hAnsi="Times New Roman" w:cs="Times New Roman"/>
          <w:sz w:val="20"/>
        </w:rPr>
        <w:t xml:space="preserve"> is a safe procedure to perform in late-advanced stage of primary glaucoma. This procedure provides statistically and clinically significant reduction of IOP and medication use with no wipe-out complication has been reported.</w:t>
      </w:r>
    </w:p>
    <w:p w:rsidR="00611177" w:rsidRPr="00611177" w:rsidRDefault="00611177" w:rsidP="00611177">
      <w:pPr>
        <w:rPr>
          <w:rFonts w:ascii="Times New Roman" w:hAnsi="Times New Roman" w:cs="Times New Roman"/>
          <w:b/>
          <w:sz w:val="24"/>
        </w:rPr>
      </w:pPr>
      <w:r w:rsidRPr="00611177">
        <w:rPr>
          <w:rFonts w:ascii="Times New Roman" w:hAnsi="Times New Roman" w:cs="Times New Roman"/>
          <w:b/>
          <w:sz w:val="24"/>
        </w:rPr>
        <w:t>Biography</w:t>
      </w:r>
    </w:p>
    <w:p w:rsidR="00611177" w:rsidRDefault="00611177" w:rsidP="00611177">
      <w:pPr>
        <w:jc w:val="both"/>
        <w:rPr>
          <w:rFonts w:ascii="Times New Roman" w:hAnsi="Times New Roman" w:cs="Times New Roman"/>
          <w:sz w:val="20"/>
        </w:rPr>
      </w:pPr>
      <w:proofErr w:type="spellStart"/>
      <w:r w:rsidRPr="00611177">
        <w:rPr>
          <w:rFonts w:ascii="Times New Roman" w:hAnsi="Times New Roman" w:cs="Times New Roman"/>
          <w:sz w:val="20"/>
        </w:rPr>
        <w:t>Widya</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Artini</w:t>
      </w:r>
      <w:proofErr w:type="spellEnd"/>
      <w:r w:rsidRPr="00611177">
        <w:rPr>
          <w:rFonts w:ascii="Times New Roman" w:hAnsi="Times New Roman" w:cs="Times New Roman"/>
          <w:sz w:val="20"/>
        </w:rPr>
        <w:t xml:space="preserve"> </w:t>
      </w:r>
      <w:proofErr w:type="spellStart"/>
      <w:r w:rsidRPr="00611177">
        <w:rPr>
          <w:rFonts w:ascii="Times New Roman" w:hAnsi="Times New Roman" w:cs="Times New Roman"/>
          <w:sz w:val="20"/>
        </w:rPr>
        <w:t>Wiyogo</w:t>
      </w:r>
      <w:proofErr w:type="spellEnd"/>
      <w:r w:rsidRPr="00611177">
        <w:rPr>
          <w:rFonts w:ascii="Times New Roman" w:hAnsi="Times New Roman" w:cs="Times New Roman"/>
          <w:sz w:val="20"/>
        </w:rPr>
        <w:t xml:space="preserve"> is currently Head of the Glaucoma Center at JEC Eye Hospital &amp;</w:t>
      </w:r>
      <w:r>
        <w:rPr>
          <w:rFonts w:ascii="Times New Roman" w:hAnsi="Times New Roman" w:cs="Times New Roman"/>
          <w:sz w:val="20"/>
        </w:rPr>
        <w:t xml:space="preserve"> </w:t>
      </w:r>
      <w:r w:rsidRPr="00611177">
        <w:rPr>
          <w:rFonts w:ascii="Times New Roman" w:hAnsi="Times New Roman" w:cs="Times New Roman"/>
          <w:sz w:val="20"/>
        </w:rPr>
        <w:t xml:space="preserve">Clinics Jakarta, Indonesia and Professor of the Department of Ophthalmology, Faculty of Medicine, </w:t>
      </w:r>
      <w:proofErr w:type="gramStart"/>
      <w:r w:rsidRPr="00611177">
        <w:rPr>
          <w:rFonts w:ascii="Times New Roman" w:hAnsi="Times New Roman" w:cs="Times New Roman"/>
          <w:sz w:val="20"/>
        </w:rPr>
        <w:t>University</w:t>
      </w:r>
      <w:proofErr w:type="gramEnd"/>
      <w:r w:rsidRPr="00611177">
        <w:rPr>
          <w:rFonts w:ascii="Times New Roman" w:hAnsi="Times New Roman" w:cs="Times New Roman"/>
          <w:sz w:val="20"/>
        </w:rPr>
        <w:t xml:space="preserve"> of Indonesia. She has completed residency in ophthalmology and doctoral degree at University of Indonesia. She has also taken fellowship in glaucoma at the Lion Eye Institute, Perth, Australia and National University of Singapore, also fellowship in cataract and glaucoma at Boston University, USA. She has written numerous publications and books on ophthalmology, both as first author and co-author. Some of the awards she has received were the Editorial Board of Glaucoma Award Certificate and the Presidential Doctor Team in 2014. She is a member of IDI, PERDAMI, AAO, ASCRS, APAO, APGS, </w:t>
      </w:r>
      <w:proofErr w:type="gramStart"/>
      <w:r w:rsidRPr="00611177">
        <w:rPr>
          <w:rFonts w:ascii="Times New Roman" w:hAnsi="Times New Roman" w:cs="Times New Roman"/>
          <w:sz w:val="20"/>
        </w:rPr>
        <w:t>IGS</w:t>
      </w:r>
      <w:proofErr w:type="gramEnd"/>
      <w:r w:rsidRPr="00611177">
        <w:rPr>
          <w:rFonts w:ascii="Times New Roman" w:hAnsi="Times New Roman" w:cs="Times New Roman"/>
          <w:sz w:val="20"/>
        </w:rPr>
        <w:t>.</w:t>
      </w:r>
      <w:bookmarkEnd w:id="0"/>
    </w:p>
    <w:sectPr w:rsidR="00611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177"/>
    <w:rsid w:val="00474203"/>
    <w:rsid w:val="00535872"/>
    <w:rsid w:val="00611177"/>
    <w:rsid w:val="00924B33"/>
    <w:rsid w:val="0096338B"/>
    <w:rsid w:val="00D80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1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1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1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1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2023-01-07T06:28:00Z</dcterms:created>
  <dcterms:modified xsi:type="dcterms:W3CDTF">2023-01-07T06:42:00Z</dcterms:modified>
</cp:coreProperties>
</file>