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58025D">
      <w:pPr>
        <w:rPr>
          <w:rFonts w:ascii="Times New Roman" w:hAnsi="Times New Roman" w:cs="Times New Roman"/>
          <w:b/>
          <w:sz w:val="32"/>
        </w:rPr>
      </w:pPr>
      <w:r w:rsidRPr="0058025D">
        <w:rPr>
          <w:rFonts w:ascii="Times New Roman" w:hAnsi="Times New Roman" w:cs="Times New Roman"/>
          <w:b/>
          <w:sz w:val="32"/>
        </w:rPr>
        <w:t>Use of anchor domains to enable the use of biologics to treat ocular surface disease</w:t>
      </w:r>
    </w:p>
    <w:p w:rsidR="0058025D" w:rsidRDefault="0058025D">
      <w:pPr>
        <w:rPr>
          <w:rFonts w:ascii="Times New Roman" w:hAnsi="Times New Roman" w:cs="Times New Roman"/>
          <w:sz w:val="24"/>
        </w:rPr>
      </w:pPr>
      <w:r>
        <w:rPr>
          <w:rFonts w:ascii="Times New Roman" w:hAnsi="Times New Roman" w:cs="Times New Roman"/>
          <w:sz w:val="24"/>
        </w:rPr>
        <w:t>Robert M. Q. Shanks</w:t>
      </w:r>
      <w:r w:rsidRPr="0058025D">
        <w:rPr>
          <w:rFonts w:ascii="Times New Roman" w:hAnsi="Times New Roman" w:cs="Times New Roman"/>
          <w:sz w:val="24"/>
          <w:vertAlign w:val="superscript"/>
        </w:rPr>
        <w:t>1</w:t>
      </w:r>
      <w:r>
        <w:rPr>
          <w:rFonts w:ascii="Times New Roman" w:hAnsi="Times New Roman" w:cs="Times New Roman"/>
          <w:sz w:val="24"/>
        </w:rPr>
        <w:t>*</w:t>
      </w:r>
      <w:r w:rsidRPr="0058025D">
        <w:rPr>
          <w:rFonts w:ascii="Times New Roman" w:hAnsi="Times New Roman" w:cs="Times New Roman"/>
          <w:sz w:val="24"/>
        </w:rPr>
        <w:t>, Eric G. Romanowski</w:t>
      </w:r>
      <w:r w:rsidRPr="0058025D">
        <w:rPr>
          <w:rFonts w:ascii="Times New Roman" w:hAnsi="Times New Roman" w:cs="Times New Roman"/>
          <w:sz w:val="24"/>
          <w:vertAlign w:val="superscript"/>
        </w:rPr>
        <w:t>1</w:t>
      </w:r>
      <w:r w:rsidRPr="0058025D">
        <w:rPr>
          <w:rFonts w:ascii="Times New Roman" w:hAnsi="Times New Roman" w:cs="Times New Roman"/>
          <w:sz w:val="24"/>
        </w:rPr>
        <w:t>, John E. Romanowski</w:t>
      </w:r>
      <w:r w:rsidRPr="0058025D">
        <w:rPr>
          <w:rFonts w:ascii="Times New Roman" w:hAnsi="Times New Roman" w:cs="Times New Roman"/>
          <w:sz w:val="24"/>
          <w:vertAlign w:val="superscript"/>
        </w:rPr>
        <w:t>1</w:t>
      </w:r>
      <w:r w:rsidRPr="0058025D">
        <w:rPr>
          <w:rFonts w:ascii="Times New Roman" w:hAnsi="Times New Roman" w:cs="Times New Roman"/>
          <w:sz w:val="24"/>
        </w:rPr>
        <w:t>, Kather</w:t>
      </w:r>
      <w:r>
        <w:rPr>
          <w:rFonts w:ascii="Times New Roman" w:hAnsi="Times New Roman" w:cs="Times New Roman"/>
          <w:sz w:val="24"/>
        </w:rPr>
        <w:t>ine Davoli</w:t>
      </w:r>
      <w:r w:rsidRPr="0058025D">
        <w:rPr>
          <w:rFonts w:ascii="Times New Roman" w:hAnsi="Times New Roman" w:cs="Times New Roman"/>
          <w:sz w:val="24"/>
          <w:vertAlign w:val="superscript"/>
        </w:rPr>
        <w:t>1</w:t>
      </w:r>
      <w:r>
        <w:rPr>
          <w:rFonts w:ascii="Times New Roman" w:hAnsi="Times New Roman" w:cs="Times New Roman"/>
          <w:sz w:val="24"/>
        </w:rPr>
        <w:t>, Nancy A. McNamara</w:t>
      </w:r>
      <w:r w:rsidRPr="0058025D">
        <w:rPr>
          <w:rFonts w:ascii="Times New Roman" w:hAnsi="Times New Roman" w:cs="Times New Roman"/>
          <w:sz w:val="24"/>
          <w:vertAlign w:val="superscript"/>
        </w:rPr>
        <w:t>2</w:t>
      </w:r>
      <w:r w:rsidRPr="0058025D">
        <w:rPr>
          <w:rFonts w:ascii="Times New Roman" w:hAnsi="Times New Roman" w:cs="Times New Roman"/>
          <w:sz w:val="24"/>
        </w:rPr>
        <w:t xml:space="preserve"> and </w:t>
      </w:r>
      <w:proofErr w:type="spellStart"/>
      <w:r w:rsidRPr="0058025D">
        <w:rPr>
          <w:rFonts w:ascii="Times New Roman" w:hAnsi="Times New Roman" w:cs="Times New Roman"/>
          <w:sz w:val="24"/>
        </w:rPr>
        <w:t>Jes</w:t>
      </w:r>
      <w:proofErr w:type="spellEnd"/>
      <w:r w:rsidRPr="0058025D">
        <w:rPr>
          <w:rFonts w:ascii="Times New Roman" w:hAnsi="Times New Roman" w:cs="Times New Roman"/>
          <w:sz w:val="24"/>
        </w:rPr>
        <w:t xml:space="preserve"> K. Klarlund</w:t>
      </w:r>
      <w:r w:rsidRPr="0058025D">
        <w:rPr>
          <w:rFonts w:ascii="Times New Roman" w:hAnsi="Times New Roman" w:cs="Times New Roman"/>
          <w:sz w:val="24"/>
          <w:vertAlign w:val="superscript"/>
        </w:rPr>
        <w:t>1</w:t>
      </w:r>
    </w:p>
    <w:p w:rsidR="0058025D" w:rsidRPr="0058025D" w:rsidRDefault="0058025D" w:rsidP="0058025D">
      <w:pPr>
        <w:spacing w:after="0"/>
        <w:rPr>
          <w:rFonts w:ascii="Times New Roman" w:hAnsi="Times New Roman" w:cs="Times New Roman"/>
        </w:rPr>
      </w:pPr>
      <w:r w:rsidRPr="0058025D">
        <w:rPr>
          <w:rFonts w:ascii="Times New Roman" w:hAnsi="Times New Roman" w:cs="Times New Roman"/>
          <w:vertAlign w:val="superscript"/>
        </w:rPr>
        <w:t>1</w:t>
      </w:r>
      <w:r w:rsidRPr="0058025D">
        <w:rPr>
          <w:rFonts w:ascii="Times New Roman" w:hAnsi="Times New Roman" w:cs="Times New Roman"/>
        </w:rPr>
        <w:t>University of Pittsburgh, USA</w:t>
      </w:r>
    </w:p>
    <w:p w:rsidR="0058025D" w:rsidRPr="0058025D" w:rsidRDefault="0058025D">
      <w:pPr>
        <w:rPr>
          <w:rFonts w:ascii="Times New Roman" w:hAnsi="Times New Roman" w:cs="Times New Roman"/>
        </w:rPr>
      </w:pPr>
      <w:r w:rsidRPr="0058025D">
        <w:rPr>
          <w:rFonts w:ascii="Times New Roman" w:hAnsi="Times New Roman" w:cs="Times New Roman"/>
          <w:vertAlign w:val="superscript"/>
        </w:rPr>
        <w:t>2</w:t>
      </w:r>
      <w:r w:rsidRPr="0058025D">
        <w:rPr>
          <w:rFonts w:ascii="Times New Roman" w:hAnsi="Times New Roman" w:cs="Times New Roman"/>
        </w:rPr>
        <w:t>University of California, USA</w:t>
      </w:r>
    </w:p>
    <w:p w:rsidR="0058025D" w:rsidRPr="0058025D" w:rsidRDefault="0058025D" w:rsidP="0058025D">
      <w:pPr>
        <w:jc w:val="center"/>
        <w:rPr>
          <w:rFonts w:ascii="Times New Roman" w:hAnsi="Times New Roman" w:cs="Times New Roman"/>
          <w:b/>
          <w:sz w:val="24"/>
        </w:rPr>
      </w:pPr>
      <w:r w:rsidRPr="0058025D">
        <w:rPr>
          <w:rFonts w:ascii="Times New Roman" w:hAnsi="Times New Roman" w:cs="Times New Roman"/>
          <w:b/>
          <w:sz w:val="24"/>
        </w:rPr>
        <w:t>Abstract</w:t>
      </w:r>
    </w:p>
    <w:p w:rsidR="0058025D" w:rsidRPr="0058025D" w:rsidRDefault="0058025D" w:rsidP="0058025D">
      <w:pPr>
        <w:jc w:val="both"/>
        <w:rPr>
          <w:rFonts w:ascii="Times New Roman" w:hAnsi="Times New Roman" w:cs="Times New Roman"/>
          <w:sz w:val="20"/>
        </w:rPr>
      </w:pPr>
      <w:r w:rsidRPr="0058025D">
        <w:rPr>
          <w:rFonts w:ascii="Times New Roman" w:hAnsi="Times New Roman" w:cs="Times New Roman"/>
          <w:b/>
          <w:sz w:val="20"/>
        </w:rPr>
        <w:t>Purpose:</w:t>
      </w:r>
      <w:r w:rsidRPr="0058025D">
        <w:rPr>
          <w:rFonts w:ascii="Times New Roman" w:hAnsi="Times New Roman" w:cs="Times New Roman"/>
          <w:sz w:val="20"/>
        </w:rPr>
        <w:t xml:space="preserve"> Corneal diseases are generally treated by topical drug application because it minimizes off-target exposure and allows more aggressive treatments. However, the ocular surface has very efficient clearance mechanisms including blinking and tear flow that washed out biologics drugs too quickly for them to have significant therapeutic effects. The goal of this study was to test the hypothesis that attaching a module that binds to the ocular surface and that can serve as an “anchor” to increase the residency time of biologics on the ocular surface. The outcome could extend the use of biologics for the treatment of ocular surface diseases.</w:t>
      </w:r>
    </w:p>
    <w:p w:rsidR="0058025D" w:rsidRPr="0058025D" w:rsidRDefault="0058025D" w:rsidP="0058025D">
      <w:pPr>
        <w:jc w:val="both"/>
        <w:rPr>
          <w:rFonts w:ascii="Times New Roman" w:hAnsi="Times New Roman" w:cs="Times New Roman"/>
          <w:sz w:val="20"/>
        </w:rPr>
      </w:pPr>
      <w:r w:rsidRPr="0058025D">
        <w:rPr>
          <w:rFonts w:ascii="Times New Roman" w:hAnsi="Times New Roman" w:cs="Times New Roman"/>
          <w:b/>
          <w:sz w:val="20"/>
        </w:rPr>
        <w:t>Methods:</w:t>
      </w:r>
      <w:r w:rsidRPr="0058025D">
        <w:rPr>
          <w:rFonts w:ascii="Times New Roman" w:hAnsi="Times New Roman" w:cs="Times New Roman"/>
          <w:sz w:val="20"/>
        </w:rPr>
        <w:t xml:space="preserve"> A variety of antibodies were conjugated to wheat germ agglutinin which binds </w:t>
      </w:r>
      <w:proofErr w:type="spellStart"/>
      <w:r w:rsidRPr="0058025D">
        <w:rPr>
          <w:rFonts w:ascii="Times New Roman" w:hAnsi="Times New Roman" w:cs="Times New Roman"/>
          <w:sz w:val="20"/>
        </w:rPr>
        <w:t>GlcNAc</w:t>
      </w:r>
      <w:proofErr w:type="spellEnd"/>
      <w:r w:rsidRPr="0058025D">
        <w:rPr>
          <w:rFonts w:ascii="Times New Roman" w:hAnsi="Times New Roman" w:cs="Times New Roman"/>
          <w:sz w:val="20"/>
        </w:rPr>
        <w:t xml:space="preserve"> and </w:t>
      </w:r>
      <w:proofErr w:type="spellStart"/>
      <w:r w:rsidRPr="0058025D">
        <w:rPr>
          <w:rFonts w:ascii="Times New Roman" w:hAnsi="Times New Roman" w:cs="Times New Roman"/>
          <w:sz w:val="20"/>
        </w:rPr>
        <w:t>sialic</w:t>
      </w:r>
      <w:proofErr w:type="spellEnd"/>
      <w:r w:rsidRPr="0058025D">
        <w:rPr>
          <w:rFonts w:ascii="Times New Roman" w:hAnsi="Times New Roman" w:cs="Times New Roman"/>
          <w:sz w:val="20"/>
        </w:rPr>
        <w:t xml:space="preserve"> acid that are ubiquitously present in the cornea using EDC (1-Ethyl-3-[3-dim</w:t>
      </w:r>
      <w:r>
        <w:rPr>
          <w:rFonts w:ascii="Times New Roman" w:hAnsi="Times New Roman" w:cs="Times New Roman"/>
          <w:sz w:val="20"/>
        </w:rPr>
        <w:t xml:space="preserve">ethylaminopropyl] </w:t>
      </w:r>
      <w:proofErr w:type="spellStart"/>
      <w:r>
        <w:rPr>
          <w:rFonts w:ascii="Times New Roman" w:hAnsi="Times New Roman" w:cs="Times New Roman"/>
          <w:sz w:val="20"/>
        </w:rPr>
        <w:t>carbodiimide</w:t>
      </w:r>
      <w:proofErr w:type="spellEnd"/>
      <w:r>
        <w:rPr>
          <w:rFonts w:ascii="Times New Roman" w:hAnsi="Times New Roman" w:cs="Times New Roman"/>
          <w:sz w:val="20"/>
        </w:rPr>
        <w:t>)/</w:t>
      </w:r>
      <w:proofErr w:type="spellStart"/>
      <w:r w:rsidRPr="0058025D">
        <w:rPr>
          <w:rFonts w:ascii="Times New Roman" w:hAnsi="Times New Roman" w:cs="Times New Roman"/>
          <w:sz w:val="20"/>
        </w:rPr>
        <w:t>sulfo</w:t>
      </w:r>
      <w:proofErr w:type="spellEnd"/>
      <w:r w:rsidRPr="0058025D">
        <w:rPr>
          <w:rFonts w:ascii="Times New Roman" w:hAnsi="Times New Roman" w:cs="Times New Roman"/>
          <w:sz w:val="20"/>
        </w:rPr>
        <w:t>-NHS(N-</w:t>
      </w:r>
      <w:proofErr w:type="spellStart"/>
      <w:r w:rsidRPr="0058025D">
        <w:rPr>
          <w:rFonts w:ascii="Times New Roman" w:hAnsi="Times New Roman" w:cs="Times New Roman"/>
          <w:sz w:val="20"/>
        </w:rPr>
        <w:t>hydroxysulfosuccinimide</w:t>
      </w:r>
      <w:proofErr w:type="spellEnd"/>
      <w:r w:rsidRPr="0058025D">
        <w:rPr>
          <w:rFonts w:ascii="Times New Roman" w:hAnsi="Times New Roman" w:cs="Times New Roman"/>
          <w:sz w:val="20"/>
        </w:rPr>
        <w:t>) cross-link</w:t>
      </w:r>
      <w:r>
        <w:rPr>
          <w:rFonts w:ascii="Times New Roman" w:hAnsi="Times New Roman" w:cs="Times New Roman"/>
          <w:sz w:val="20"/>
        </w:rPr>
        <w:t>ing</w:t>
      </w:r>
      <w:bookmarkStart w:id="0" w:name="_GoBack"/>
      <w:bookmarkEnd w:id="0"/>
      <w:r>
        <w:rPr>
          <w:rFonts w:ascii="Times New Roman" w:hAnsi="Times New Roman" w:cs="Times New Roman"/>
          <w:sz w:val="20"/>
        </w:rPr>
        <w:t xml:space="preserve">. Binding of </w:t>
      </w:r>
      <w:proofErr w:type="spellStart"/>
      <w:r>
        <w:rPr>
          <w:rFonts w:ascii="Times New Roman" w:hAnsi="Times New Roman" w:cs="Times New Roman"/>
          <w:sz w:val="20"/>
        </w:rPr>
        <w:t>AlexaFlour</w:t>
      </w:r>
      <w:proofErr w:type="spellEnd"/>
      <w:r>
        <w:rPr>
          <w:rFonts w:ascii="Times New Roman" w:hAnsi="Times New Roman" w:cs="Times New Roman"/>
          <w:sz w:val="20"/>
        </w:rPr>
        <w:t xml:space="preserve"> 488-</w:t>
      </w:r>
      <w:r w:rsidRPr="0058025D">
        <w:rPr>
          <w:rFonts w:ascii="Times New Roman" w:hAnsi="Times New Roman" w:cs="Times New Roman"/>
          <w:sz w:val="20"/>
        </w:rPr>
        <w:t xml:space="preserve">labeled ligands was assessed by binding to antibodies immobilized on </w:t>
      </w:r>
      <w:proofErr w:type="spellStart"/>
      <w:r w:rsidRPr="0058025D">
        <w:rPr>
          <w:rFonts w:ascii="Times New Roman" w:hAnsi="Times New Roman" w:cs="Times New Roman"/>
          <w:sz w:val="20"/>
        </w:rPr>
        <w:t>GlcNAc</w:t>
      </w:r>
      <w:proofErr w:type="spellEnd"/>
      <w:r w:rsidRPr="0058025D">
        <w:rPr>
          <w:rFonts w:ascii="Times New Roman" w:hAnsi="Times New Roman" w:cs="Times New Roman"/>
          <w:sz w:val="20"/>
        </w:rPr>
        <w:t xml:space="preserve"> bead</w:t>
      </w:r>
      <w:r>
        <w:rPr>
          <w:rFonts w:ascii="Times New Roman" w:hAnsi="Times New Roman" w:cs="Times New Roman"/>
          <w:sz w:val="20"/>
        </w:rPr>
        <w:t>s. Antibody to IL-</w:t>
      </w:r>
      <w:r w:rsidRPr="0058025D">
        <w:rPr>
          <w:rFonts w:ascii="Times New Roman" w:hAnsi="Times New Roman" w:cs="Times New Roman"/>
          <w:sz w:val="20"/>
        </w:rPr>
        <w:t xml:space="preserve">17A was labeled with </w:t>
      </w:r>
      <w:proofErr w:type="spellStart"/>
      <w:r w:rsidRPr="0058025D">
        <w:rPr>
          <w:rFonts w:ascii="Times New Roman" w:hAnsi="Times New Roman" w:cs="Times New Roman"/>
          <w:sz w:val="20"/>
        </w:rPr>
        <w:t>AlexaFluor</w:t>
      </w:r>
      <w:proofErr w:type="spellEnd"/>
      <w:r w:rsidRPr="0058025D">
        <w:rPr>
          <w:rFonts w:ascii="Times New Roman" w:hAnsi="Times New Roman" w:cs="Times New Roman"/>
          <w:sz w:val="20"/>
        </w:rPr>
        <w:t xml:space="preserve"> 488 and the retention was followed by fluorescent imaging. To establish dry eye disease phenotypes, the main </w:t>
      </w:r>
      <w:proofErr w:type="spellStart"/>
      <w:r w:rsidRPr="0058025D">
        <w:rPr>
          <w:rFonts w:ascii="Times New Roman" w:hAnsi="Times New Roman" w:cs="Times New Roman"/>
          <w:sz w:val="20"/>
        </w:rPr>
        <w:t>extraorbital</w:t>
      </w:r>
      <w:proofErr w:type="spellEnd"/>
      <w:r w:rsidRPr="0058025D">
        <w:rPr>
          <w:rFonts w:ascii="Times New Roman" w:hAnsi="Times New Roman" w:cs="Times New Roman"/>
          <w:sz w:val="20"/>
        </w:rPr>
        <w:t xml:space="preserve"> lacrimal glands of C57Black/6 were surgically removed. The effects of application on the integrity of the corneal surface were monitored by fluorescein staining</w:t>
      </w:r>
      <w:r w:rsidR="002F16EA">
        <w:rPr>
          <w:rFonts w:ascii="Times New Roman" w:hAnsi="Times New Roman" w:cs="Times New Roman"/>
          <w:sz w:val="20"/>
        </w:rPr>
        <w:t xml:space="preserve"> and</w:t>
      </w:r>
      <w:r w:rsidRPr="0058025D">
        <w:rPr>
          <w:rFonts w:ascii="Times New Roman" w:hAnsi="Times New Roman" w:cs="Times New Roman"/>
          <w:sz w:val="20"/>
        </w:rPr>
        <w:t xml:space="preserve"> histological analysis for </w:t>
      </w:r>
      <w:proofErr w:type="spellStart"/>
      <w:r w:rsidRPr="0058025D">
        <w:rPr>
          <w:rFonts w:ascii="Times New Roman" w:hAnsi="Times New Roman" w:cs="Times New Roman"/>
          <w:sz w:val="20"/>
        </w:rPr>
        <w:t>limbal</w:t>
      </w:r>
      <w:proofErr w:type="spellEnd"/>
      <w:r w:rsidRPr="0058025D">
        <w:rPr>
          <w:rFonts w:ascii="Times New Roman" w:hAnsi="Times New Roman" w:cs="Times New Roman"/>
          <w:sz w:val="20"/>
        </w:rPr>
        <w:t xml:space="preserve"> CD4</w:t>
      </w:r>
      <w:r w:rsidRPr="0058025D">
        <w:rPr>
          <w:rFonts w:ascii="Times New Roman" w:hAnsi="Times New Roman" w:cs="Times New Roman"/>
          <w:sz w:val="20"/>
          <w:vertAlign w:val="superscript"/>
        </w:rPr>
        <w:t>+</w:t>
      </w:r>
      <w:r w:rsidRPr="0058025D">
        <w:rPr>
          <w:rFonts w:ascii="Times New Roman" w:hAnsi="Times New Roman" w:cs="Times New Roman"/>
          <w:sz w:val="20"/>
        </w:rPr>
        <w:t xml:space="preserve"> cells, epithelial thickness and disorganization</w:t>
      </w:r>
      <w:r w:rsidR="002F16EA">
        <w:rPr>
          <w:rFonts w:ascii="Times New Roman" w:hAnsi="Times New Roman" w:cs="Times New Roman"/>
          <w:sz w:val="20"/>
        </w:rPr>
        <w:t xml:space="preserve"> and</w:t>
      </w:r>
      <w:r w:rsidRPr="0058025D">
        <w:rPr>
          <w:rFonts w:ascii="Times New Roman" w:hAnsi="Times New Roman" w:cs="Times New Roman"/>
          <w:sz w:val="20"/>
        </w:rPr>
        <w:t xml:space="preserve"> disruption of innervation. Scoring was done by masked observers.</w:t>
      </w:r>
    </w:p>
    <w:p w:rsidR="0058025D" w:rsidRPr="0058025D" w:rsidRDefault="0058025D" w:rsidP="0058025D">
      <w:pPr>
        <w:jc w:val="both"/>
        <w:rPr>
          <w:rFonts w:ascii="Times New Roman" w:hAnsi="Times New Roman" w:cs="Times New Roman"/>
          <w:sz w:val="20"/>
        </w:rPr>
      </w:pPr>
      <w:r w:rsidRPr="0058025D">
        <w:rPr>
          <w:rFonts w:ascii="Times New Roman" w:hAnsi="Times New Roman" w:cs="Times New Roman"/>
          <w:b/>
          <w:sz w:val="20"/>
        </w:rPr>
        <w:t>Results:</w:t>
      </w:r>
      <w:r w:rsidRPr="0058025D">
        <w:rPr>
          <w:rFonts w:ascii="Times New Roman" w:hAnsi="Times New Roman" w:cs="Times New Roman"/>
          <w:sz w:val="20"/>
        </w:rPr>
        <w:t xml:space="preserve"> Antibodies conjugation to wheat germ agglutinin did not compromise binding of antibodies to their cognate ligands, increased retentio</w:t>
      </w:r>
      <w:r w:rsidR="002F16EA">
        <w:rPr>
          <w:rFonts w:ascii="Times New Roman" w:hAnsi="Times New Roman" w:cs="Times New Roman"/>
          <w:sz w:val="20"/>
        </w:rPr>
        <w:t>n on the ocular surface by 350-</w:t>
      </w:r>
      <w:r w:rsidRPr="0058025D">
        <w:rPr>
          <w:rFonts w:ascii="Times New Roman" w:hAnsi="Times New Roman" w:cs="Times New Roman"/>
          <w:sz w:val="20"/>
        </w:rPr>
        <w:t>fold</w:t>
      </w:r>
      <w:r w:rsidR="002F16EA">
        <w:rPr>
          <w:rFonts w:ascii="Times New Roman" w:hAnsi="Times New Roman" w:cs="Times New Roman"/>
          <w:sz w:val="20"/>
        </w:rPr>
        <w:t xml:space="preserve"> and</w:t>
      </w:r>
      <w:r w:rsidRPr="0058025D">
        <w:rPr>
          <w:rFonts w:ascii="Times New Roman" w:hAnsi="Times New Roman" w:cs="Times New Roman"/>
          <w:sz w:val="20"/>
        </w:rPr>
        <w:t xml:space="preserve"> conjugated antibodies to IL-17A, IL-23</w:t>
      </w:r>
      <w:r w:rsidR="002F16EA">
        <w:rPr>
          <w:rFonts w:ascii="Times New Roman" w:hAnsi="Times New Roman" w:cs="Times New Roman"/>
          <w:sz w:val="20"/>
        </w:rPr>
        <w:t xml:space="preserve"> and</w:t>
      </w:r>
      <w:r w:rsidRPr="0058025D">
        <w:rPr>
          <w:rFonts w:ascii="Times New Roman" w:hAnsi="Times New Roman" w:cs="Times New Roman"/>
          <w:sz w:val="20"/>
        </w:rPr>
        <w:t xml:space="preserve"> IL-1β conjugated reduced manifestations of dry eye, even when applied just once daily. By contrast unconjugated antibodies and the anchor alone control were ineffective.</w:t>
      </w:r>
    </w:p>
    <w:p w:rsidR="0058025D" w:rsidRDefault="0058025D" w:rsidP="0058025D">
      <w:pPr>
        <w:jc w:val="both"/>
        <w:rPr>
          <w:rFonts w:ascii="Times New Roman" w:hAnsi="Times New Roman" w:cs="Times New Roman"/>
          <w:sz w:val="20"/>
        </w:rPr>
      </w:pPr>
      <w:r w:rsidRPr="0058025D">
        <w:rPr>
          <w:rFonts w:ascii="Times New Roman" w:hAnsi="Times New Roman" w:cs="Times New Roman"/>
          <w:b/>
          <w:sz w:val="20"/>
        </w:rPr>
        <w:t>Conclusions:</w:t>
      </w:r>
      <w:r w:rsidRPr="0058025D">
        <w:rPr>
          <w:rFonts w:ascii="Times New Roman" w:hAnsi="Times New Roman" w:cs="Times New Roman"/>
          <w:sz w:val="20"/>
        </w:rPr>
        <w:t xml:space="preserve"> Anchors, such as wheat germ agglutinin, appear to be a simple means to overcome washout and allow their therapeutic use of biologics on the ocular surface.</w:t>
      </w:r>
    </w:p>
    <w:p w:rsidR="0058025D" w:rsidRPr="0058025D" w:rsidRDefault="0058025D" w:rsidP="0058025D">
      <w:pPr>
        <w:rPr>
          <w:rFonts w:ascii="Times New Roman" w:hAnsi="Times New Roman" w:cs="Times New Roman"/>
          <w:b/>
          <w:sz w:val="24"/>
        </w:rPr>
      </w:pPr>
      <w:r w:rsidRPr="0058025D">
        <w:rPr>
          <w:rFonts w:ascii="Times New Roman" w:hAnsi="Times New Roman" w:cs="Times New Roman"/>
          <w:b/>
          <w:sz w:val="24"/>
        </w:rPr>
        <w:t>Biography</w:t>
      </w:r>
    </w:p>
    <w:p w:rsidR="0058025D" w:rsidRPr="0058025D" w:rsidRDefault="0058025D" w:rsidP="0058025D">
      <w:pPr>
        <w:jc w:val="both"/>
        <w:rPr>
          <w:rFonts w:ascii="Times New Roman" w:hAnsi="Times New Roman" w:cs="Times New Roman"/>
          <w:sz w:val="20"/>
        </w:rPr>
      </w:pPr>
      <w:r w:rsidRPr="0058025D">
        <w:rPr>
          <w:rFonts w:ascii="Times New Roman" w:hAnsi="Times New Roman" w:cs="Times New Roman"/>
          <w:sz w:val="20"/>
        </w:rPr>
        <w:t>Robert Shanks is an associate professor at the University of Pittsburgh</w:t>
      </w:r>
      <w:r>
        <w:rPr>
          <w:rFonts w:ascii="Times New Roman" w:hAnsi="Times New Roman" w:cs="Times New Roman"/>
          <w:sz w:val="20"/>
        </w:rPr>
        <w:t>,</w:t>
      </w:r>
      <w:r w:rsidRPr="0058025D">
        <w:rPr>
          <w:rFonts w:ascii="Times New Roman" w:hAnsi="Times New Roman" w:cs="Times New Roman"/>
          <w:sz w:val="20"/>
        </w:rPr>
        <w:t xml:space="preserve"> School of Medicine with expertise in molecular microbiology and ocular infections.</w:t>
      </w:r>
    </w:p>
    <w:sectPr w:rsidR="0058025D" w:rsidRPr="0058025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025D"/>
    <w:rsid w:val="002F16EA"/>
    <w:rsid w:val="0032354D"/>
    <w:rsid w:val="00474203"/>
    <w:rsid w:val="00535872"/>
    <w:rsid w:val="0058025D"/>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TotalTime>
  <Pages>1</Pages>
  <Words>376</Words>
  <Characters>2147</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2023-04-11T08:59:00Z</dcterms:created>
  <dcterms:modified xsi:type="dcterms:W3CDTF">2023-04-11T09:46:00Z</dcterms:modified>
</cp:coreProperties>
</file>