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1D6F">
      <w:pPr>
        <w:rPr>
          <w:rFonts w:ascii="Times New Roman" w:hAnsi="Times New Roman" w:cs="Times New Roman"/>
          <w:b/>
          <w:sz w:val="32"/>
        </w:rPr>
      </w:pPr>
      <w:bookmarkStart w:id="0" w:name="_GoBack"/>
      <w:r w:rsidRPr="00F21D6F">
        <w:rPr>
          <w:rFonts w:ascii="Times New Roman" w:hAnsi="Times New Roman" w:cs="Times New Roman"/>
          <w:b/>
          <w:sz w:val="32"/>
        </w:rPr>
        <w:t xml:space="preserve">To evaluate the safety and efficacy of half </w:t>
      </w:r>
      <w:proofErr w:type="spellStart"/>
      <w:r w:rsidRPr="00F21D6F">
        <w:rPr>
          <w:rFonts w:ascii="Times New Roman" w:hAnsi="Times New Roman" w:cs="Times New Roman"/>
          <w:b/>
          <w:sz w:val="32"/>
        </w:rPr>
        <w:t>fluence</w:t>
      </w:r>
      <w:proofErr w:type="spellEnd"/>
      <w:r w:rsidRPr="00F21D6F">
        <w:rPr>
          <w:rFonts w:ascii="Times New Roman" w:hAnsi="Times New Roman" w:cs="Times New Roman"/>
          <w:b/>
          <w:sz w:val="32"/>
        </w:rPr>
        <w:t xml:space="preserve"> photodynamic therapy for symptomatic </w:t>
      </w:r>
      <w:proofErr w:type="spellStart"/>
      <w:r w:rsidRPr="00F21D6F">
        <w:rPr>
          <w:rFonts w:ascii="Times New Roman" w:hAnsi="Times New Roman" w:cs="Times New Roman"/>
          <w:b/>
          <w:sz w:val="32"/>
        </w:rPr>
        <w:t>peripapillary</w:t>
      </w:r>
      <w:proofErr w:type="spellEnd"/>
      <w:r w:rsidRPr="00F21D6F">
        <w:rPr>
          <w:rFonts w:ascii="Times New Roman" w:hAnsi="Times New Roman" w:cs="Times New Roman"/>
          <w:b/>
          <w:sz w:val="32"/>
        </w:rPr>
        <w:t xml:space="preserve"> Circumscribed </w:t>
      </w:r>
      <w:proofErr w:type="spellStart"/>
      <w:r w:rsidRPr="00F21D6F">
        <w:rPr>
          <w:rFonts w:ascii="Times New Roman" w:hAnsi="Times New Roman" w:cs="Times New Roman"/>
          <w:b/>
          <w:sz w:val="32"/>
        </w:rPr>
        <w:t>Choroidal</w:t>
      </w:r>
      <w:proofErr w:type="spellEnd"/>
      <w:r w:rsidRPr="00F21D6F">
        <w:rPr>
          <w:rFonts w:ascii="Times New Roman" w:hAnsi="Times New Roman" w:cs="Times New Roman"/>
          <w:b/>
          <w:sz w:val="32"/>
        </w:rPr>
        <w:t xml:space="preserve"> </w:t>
      </w:r>
      <w:proofErr w:type="spellStart"/>
      <w:r w:rsidRPr="00F21D6F">
        <w:rPr>
          <w:rFonts w:ascii="Times New Roman" w:hAnsi="Times New Roman" w:cs="Times New Roman"/>
          <w:b/>
          <w:sz w:val="32"/>
        </w:rPr>
        <w:t>Hemangiomas</w:t>
      </w:r>
      <w:proofErr w:type="spellEnd"/>
      <w:r w:rsidRPr="00F21D6F">
        <w:rPr>
          <w:rFonts w:ascii="Times New Roman" w:hAnsi="Times New Roman" w:cs="Times New Roman"/>
          <w:b/>
          <w:sz w:val="32"/>
        </w:rPr>
        <w:t xml:space="preserve"> (CCH</w:t>
      </w:r>
      <w:r>
        <w:rPr>
          <w:rFonts w:ascii="Times New Roman" w:hAnsi="Times New Roman" w:cs="Times New Roman"/>
          <w:b/>
          <w:sz w:val="32"/>
        </w:rPr>
        <w:t>s</w:t>
      </w:r>
      <w:r w:rsidRPr="00F21D6F">
        <w:rPr>
          <w:rFonts w:ascii="Times New Roman" w:hAnsi="Times New Roman" w:cs="Times New Roman"/>
          <w:b/>
          <w:sz w:val="32"/>
        </w:rPr>
        <w:t>)</w:t>
      </w:r>
    </w:p>
    <w:p w:rsidR="00F21D6F" w:rsidRDefault="00F21D6F">
      <w:pPr>
        <w:rPr>
          <w:rFonts w:ascii="Times New Roman" w:hAnsi="Times New Roman" w:cs="Times New Roman"/>
          <w:sz w:val="24"/>
        </w:rPr>
      </w:pPr>
      <w:proofErr w:type="spellStart"/>
      <w:r>
        <w:rPr>
          <w:rFonts w:ascii="Times New Roman" w:hAnsi="Times New Roman" w:cs="Times New Roman"/>
          <w:sz w:val="24"/>
        </w:rPr>
        <w:t>Prabhjot</w:t>
      </w:r>
      <w:proofErr w:type="spellEnd"/>
      <w:r>
        <w:rPr>
          <w:rFonts w:ascii="Times New Roman" w:hAnsi="Times New Roman" w:cs="Times New Roman"/>
          <w:sz w:val="24"/>
        </w:rPr>
        <w:t xml:space="preserve"> Singh* and </w:t>
      </w:r>
      <w:r w:rsidRPr="00F21D6F">
        <w:rPr>
          <w:rFonts w:ascii="Times New Roman" w:hAnsi="Times New Roman" w:cs="Times New Roman"/>
          <w:sz w:val="24"/>
        </w:rPr>
        <w:t>Ashok Kumar</w:t>
      </w:r>
    </w:p>
    <w:p w:rsidR="00F21D6F" w:rsidRPr="00F21D6F" w:rsidRDefault="00F21D6F">
      <w:pPr>
        <w:rPr>
          <w:rFonts w:ascii="Times New Roman" w:hAnsi="Times New Roman" w:cs="Times New Roman"/>
        </w:rPr>
      </w:pPr>
      <w:r w:rsidRPr="00F21D6F">
        <w:rPr>
          <w:rFonts w:ascii="Times New Roman" w:hAnsi="Times New Roman" w:cs="Times New Roman"/>
        </w:rPr>
        <w:t>Armed Forces Medical College, India</w:t>
      </w:r>
    </w:p>
    <w:p w:rsidR="00F21D6F" w:rsidRPr="00F21D6F" w:rsidRDefault="00F21D6F" w:rsidP="00F21D6F">
      <w:pPr>
        <w:jc w:val="center"/>
        <w:rPr>
          <w:rFonts w:ascii="Times New Roman" w:hAnsi="Times New Roman" w:cs="Times New Roman"/>
          <w:b/>
          <w:sz w:val="24"/>
        </w:rPr>
      </w:pPr>
      <w:r w:rsidRPr="00F21D6F">
        <w:rPr>
          <w:rFonts w:ascii="Times New Roman" w:hAnsi="Times New Roman" w:cs="Times New Roman"/>
          <w:b/>
          <w:sz w:val="24"/>
        </w:rPr>
        <w:t>Abstract</w:t>
      </w:r>
    </w:p>
    <w:p w:rsidR="00F21D6F" w:rsidRDefault="00F21D6F" w:rsidP="00F21D6F">
      <w:pPr>
        <w:jc w:val="both"/>
        <w:rPr>
          <w:rFonts w:ascii="Times New Roman" w:hAnsi="Times New Roman" w:cs="Times New Roman"/>
          <w:sz w:val="20"/>
        </w:rPr>
      </w:pPr>
      <w:r w:rsidRPr="00F21D6F">
        <w:rPr>
          <w:rFonts w:ascii="Times New Roman" w:hAnsi="Times New Roman" w:cs="Times New Roman"/>
          <w:sz w:val="20"/>
        </w:rPr>
        <w:t xml:space="preserve">11 patients with </w:t>
      </w:r>
      <w:proofErr w:type="spellStart"/>
      <w:r w:rsidRPr="00F21D6F">
        <w:rPr>
          <w:rFonts w:ascii="Times New Roman" w:hAnsi="Times New Roman" w:cs="Times New Roman"/>
          <w:sz w:val="20"/>
        </w:rPr>
        <w:t>Peripapillary</w:t>
      </w:r>
      <w:proofErr w:type="spellEnd"/>
      <w:r w:rsidRPr="00F21D6F">
        <w:rPr>
          <w:rFonts w:ascii="Times New Roman" w:hAnsi="Times New Roman" w:cs="Times New Roman"/>
          <w:sz w:val="20"/>
        </w:rPr>
        <w:t xml:space="preserve"> Circumscribed </w:t>
      </w:r>
      <w:proofErr w:type="spellStart"/>
      <w:r w:rsidRPr="00F21D6F">
        <w:rPr>
          <w:rFonts w:ascii="Times New Roman" w:hAnsi="Times New Roman" w:cs="Times New Roman"/>
          <w:sz w:val="20"/>
        </w:rPr>
        <w:t>Choroidal</w:t>
      </w:r>
      <w:proofErr w:type="spellEnd"/>
      <w:r w:rsidRPr="00F21D6F">
        <w:rPr>
          <w:rFonts w:ascii="Times New Roman" w:hAnsi="Times New Roman" w:cs="Times New Roman"/>
          <w:sz w:val="20"/>
        </w:rPr>
        <w:t xml:space="preserve"> </w:t>
      </w:r>
      <w:proofErr w:type="spellStart"/>
      <w:r w:rsidRPr="00F21D6F">
        <w:rPr>
          <w:rFonts w:ascii="Times New Roman" w:hAnsi="Times New Roman" w:cs="Times New Roman"/>
          <w:sz w:val="20"/>
        </w:rPr>
        <w:t>Hemangiomas</w:t>
      </w:r>
      <w:proofErr w:type="spellEnd"/>
      <w:r w:rsidRPr="00F21D6F">
        <w:rPr>
          <w:rFonts w:ascii="Times New Roman" w:hAnsi="Times New Roman" w:cs="Times New Roman"/>
          <w:sz w:val="20"/>
        </w:rPr>
        <w:t xml:space="preserve"> (CCHs) were treated with half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Photodynamic Therapy with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of 25</w:t>
      </w:r>
      <w:r>
        <w:rPr>
          <w:rFonts w:ascii="Times New Roman" w:hAnsi="Times New Roman" w:cs="Times New Roman"/>
          <w:sz w:val="20"/>
        </w:rPr>
        <w:t xml:space="preserve"> </w:t>
      </w:r>
      <w:proofErr w:type="spellStart"/>
      <w:r w:rsidRPr="00F21D6F">
        <w:rPr>
          <w:rFonts w:ascii="Times New Roman" w:hAnsi="Times New Roman" w:cs="Times New Roman"/>
          <w:sz w:val="20"/>
        </w:rPr>
        <w:t>mJ</w:t>
      </w:r>
      <w:proofErr w:type="spellEnd"/>
      <w:r w:rsidRPr="00F21D6F">
        <w:rPr>
          <w:rFonts w:ascii="Times New Roman" w:hAnsi="Times New Roman" w:cs="Times New Roman"/>
          <w:sz w:val="20"/>
        </w:rPr>
        <w:t>/cm</w:t>
      </w:r>
      <w:r w:rsidRPr="00F21D6F">
        <w:rPr>
          <w:rFonts w:ascii="Times New Roman" w:hAnsi="Times New Roman" w:cs="Times New Roman"/>
          <w:sz w:val="20"/>
          <w:vertAlign w:val="superscript"/>
        </w:rPr>
        <w:t>2</w:t>
      </w:r>
      <w:r>
        <w:rPr>
          <w:rFonts w:ascii="Times New Roman" w:hAnsi="Times New Roman" w:cs="Times New Roman"/>
          <w:sz w:val="20"/>
        </w:rPr>
        <w:t xml:space="preserve"> (standard is </w:t>
      </w:r>
      <w:r w:rsidRPr="00F21D6F">
        <w:rPr>
          <w:rFonts w:ascii="Times New Roman" w:hAnsi="Times New Roman" w:cs="Times New Roman"/>
          <w:sz w:val="20"/>
        </w:rPr>
        <w:t>50</w:t>
      </w:r>
      <w:r>
        <w:rPr>
          <w:rFonts w:ascii="Times New Roman" w:hAnsi="Times New Roman" w:cs="Times New Roman"/>
          <w:sz w:val="20"/>
        </w:rPr>
        <w:t xml:space="preserve"> </w:t>
      </w:r>
      <w:proofErr w:type="spellStart"/>
      <w:r w:rsidRPr="00F21D6F">
        <w:rPr>
          <w:rFonts w:ascii="Times New Roman" w:hAnsi="Times New Roman" w:cs="Times New Roman"/>
          <w:sz w:val="20"/>
        </w:rPr>
        <w:t>mJ</w:t>
      </w:r>
      <w:proofErr w:type="spellEnd"/>
      <w:r w:rsidRPr="00F21D6F">
        <w:rPr>
          <w:rFonts w:ascii="Times New Roman" w:hAnsi="Times New Roman" w:cs="Times New Roman"/>
          <w:sz w:val="20"/>
        </w:rPr>
        <w:t>/cm</w:t>
      </w:r>
      <w:r w:rsidRPr="00F21D6F">
        <w:rPr>
          <w:rFonts w:ascii="Times New Roman" w:hAnsi="Times New Roman" w:cs="Times New Roman"/>
          <w:sz w:val="20"/>
          <w:vertAlign w:val="superscript"/>
        </w:rPr>
        <w:t>2</w:t>
      </w:r>
      <w:r w:rsidRPr="00F21D6F">
        <w:rPr>
          <w:rFonts w:ascii="Times New Roman" w:hAnsi="Times New Roman" w:cs="Times New Roman"/>
          <w:sz w:val="20"/>
        </w:rPr>
        <w:t>). Patients were evaluated at 4 weeks, 12 weeks and 24 weeks post PDT with Best-Corrected Visual Acuity (BCVA), ultrasonography, SD-OCT &amp; visual evoked potential. The BCVA significantly improved to 0</w:t>
      </w:r>
      <w:r>
        <w:rPr>
          <w:rFonts w:ascii="Times New Roman" w:hAnsi="Times New Roman" w:cs="Times New Roman"/>
          <w:sz w:val="20"/>
        </w:rPr>
        <w:t>.441+0.125 at 24 weeks (P=0.007</w:t>
      </w:r>
      <w:r w:rsidRPr="00F21D6F">
        <w:rPr>
          <w:rFonts w:ascii="Times New Roman" w:hAnsi="Times New Roman" w:cs="Times New Roman"/>
          <w:sz w:val="20"/>
        </w:rPr>
        <w:t>)</w:t>
      </w:r>
      <w:r>
        <w:rPr>
          <w:rFonts w:ascii="Times New Roman" w:hAnsi="Times New Roman" w:cs="Times New Roman"/>
          <w:sz w:val="20"/>
        </w:rPr>
        <w:t xml:space="preserve"> from baseline levels of 1.017+</w:t>
      </w:r>
      <w:r w:rsidRPr="00F21D6F">
        <w:rPr>
          <w:rFonts w:ascii="Times New Roman" w:hAnsi="Times New Roman" w:cs="Times New Roman"/>
          <w:sz w:val="20"/>
        </w:rPr>
        <w:t>0.075</w:t>
      </w:r>
      <w:r>
        <w:rPr>
          <w:rFonts w:ascii="Times New Roman" w:hAnsi="Times New Roman" w:cs="Times New Roman"/>
          <w:sz w:val="20"/>
        </w:rPr>
        <w:t xml:space="preserve"> </w:t>
      </w:r>
      <w:r w:rsidRPr="00F21D6F">
        <w:rPr>
          <w:rFonts w:ascii="Times New Roman" w:hAnsi="Times New Roman" w:cs="Times New Roman"/>
          <w:sz w:val="20"/>
        </w:rPr>
        <w:t>um. Central macular thickness also showed improvement to 174.60+23.13</w:t>
      </w:r>
      <w:r>
        <w:rPr>
          <w:rFonts w:ascii="Times New Roman" w:hAnsi="Times New Roman" w:cs="Times New Roman"/>
          <w:sz w:val="20"/>
        </w:rPr>
        <w:t xml:space="preserve"> </w:t>
      </w:r>
      <w:r w:rsidRPr="00F21D6F">
        <w:rPr>
          <w:rFonts w:ascii="Times New Roman" w:hAnsi="Times New Roman" w:cs="Times New Roman"/>
          <w:sz w:val="20"/>
        </w:rPr>
        <w:t xml:space="preserve">um (P=0.001) at 24 weeks. A single session of retreatment was required in 2 patients (18%) which also showed complete resolution. No procedure related complications were observed. It can be therefore concluded that half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PDT can be an effective and safe treatment option for </w:t>
      </w:r>
      <w:proofErr w:type="spellStart"/>
      <w:r w:rsidRPr="00F21D6F">
        <w:rPr>
          <w:rFonts w:ascii="Times New Roman" w:hAnsi="Times New Roman" w:cs="Times New Roman"/>
          <w:sz w:val="20"/>
        </w:rPr>
        <w:t>peripapillary</w:t>
      </w:r>
      <w:proofErr w:type="spellEnd"/>
      <w:r w:rsidRPr="00F21D6F">
        <w:rPr>
          <w:rFonts w:ascii="Times New Roman" w:hAnsi="Times New Roman" w:cs="Times New Roman"/>
          <w:sz w:val="20"/>
        </w:rPr>
        <w:t xml:space="preserve"> CCHs which results in both anatomical and functional improvements with no observable complications.</w:t>
      </w:r>
    </w:p>
    <w:p w:rsidR="00F21D6F" w:rsidRPr="00F21D6F" w:rsidRDefault="00F21D6F" w:rsidP="00F21D6F">
      <w:pPr>
        <w:rPr>
          <w:rFonts w:ascii="Times New Roman" w:hAnsi="Times New Roman" w:cs="Times New Roman"/>
          <w:b/>
          <w:sz w:val="24"/>
        </w:rPr>
      </w:pPr>
      <w:r w:rsidRPr="00F21D6F">
        <w:rPr>
          <w:rFonts w:ascii="Times New Roman" w:hAnsi="Times New Roman" w:cs="Times New Roman"/>
          <w:b/>
          <w:sz w:val="24"/>
        </w:rPr>
        <w:t>What will audience learn from your presentation?</w:t>
      </w:r>
    </w:p>
    <w:p w:rsidR="00F21D6F" w:rsidRPr="00F21D6F" w:rsidRDefault="00F21D6F" w:rsidP="00F21D6F">
      <w:pPr>
        <w:pStyle w:val="ListParagraph"/>
        <w:numPr>
          <w:ilvl w:val="0"/>
          <w:numId w:val="1"/>
        </w:numPr>
        <w:jc w:val="both"/>
        <w:rPr>
          <w:rFonts w:ascii="Times New Roman" w:hAnsi="Times New Roman" w:cs="Times New Roman"/>
          <w:sz w:val="20"/>
        </w:rPr>
      </w:pPr>
      <w:r w:rsidRPr="00F21D6F">
        <w:rPr>
          <w:rFonts w:ascii="Times New Roman" w:hAnsi="Times New Roman" w:cs="Times New Roman"/>
          <w:sz w:val="20"/>
        </w:rPr>
        <w:t xml:space="preserve">The present study is a first attempt at evaluating efficacy and safety of half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PDT for symptomatic CCHs. It showed that half-</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PDT can have a significant effect on improvement of a patient’s visual acuity, in resolving SRF and reducing central retinal thickness</w:t>
      </w:r>
      <w:r>
        <w:rPr>
          <w:rFonts w:ascii="Times New Roman" w:hAnsi="Times New Roman" w:cs="Times New Roman"/>
          <w:sz w:val="20"/>
        </w:rPr>
        <w:t>.</w:t>
      </w:r>
    </w:p>
    <w:p w:rsidR="00F21D6F" w:rsidRPr="00F21D6F" w:rsidRDefault="00F21D6F" w:rsidP="00F21D6F">
      <w:pPr>
        <w:pStyle w:val="ListParagraph"/>
        <w:numPr>
          <w:ilvl w:val="0"/>
          <w:numId w:val="1"/>
        </w:numPr>
        <w:jc w:val="both"/>
        <w:rPr>
          <w:rFonts w:ascii="Times New Roman" w:hAnsi="Times New Roman" w:cs="Times New Roman"/>
          <w:sz w:val="20"/>
        </w:rPr>
      </w:pPr>
      <w:r w:rsidRPr="00F21D6F">
        <w:rPr>
          <w:rFonts w:ascii="Times New Roman" w:hAnsi="Times New Roman" w:cs="Times New Roman"/>
          <w:sz w:val="20"/>
        </w:rPr>
        <w:t xml:space="preserve">There is significant potential for </w:t>
      </w:r>
      <w:proofErr w:type="spellStart"/>
      <w:r w:rsidRPr="00F21D6F">
        <w:rPr>
          <w:rFonts w:ascii="Times New Roman" w:hAnsi="Times New Roman" w:cs="Times New Roman"/>
          <w:sz w:val="20"/>
        </w:rPr>
        <w:t>choroidal</w:t>
      </w:r>
      <w:proofErr w:type="spellEnd"/>
      <w:r w:rsidRPr="00F21D6F">
        <w:rPr>
          <w:rFonts w:ascii="Times New Roman" w:hAnsi="Times New Roman" w:cs="Times New Roman"/>
          <w:sz w:val="20"/>
        </w:rPr>
        <w:t xml:space="preserve"> atrophy and other adverse events following ‘standard’, ‘bolus’ and ‘high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PDT as observed by multiple researchers. However; </w:t>
      </w:r>
      <w:r w:rsidRPr="00F21D6F">
        <w:rPr>
          <w:rFonts w:ascii="Times New Roman" w:hAnsi="Times New Roman" w:cs="Times New Roman"/>
          <w:sz w:val="20"/>
        </w:rPr>
        <w:t>none</w:t>
      </w:r>
      <w:r w:rsidRPr="00F21D6F">
        <w:rPr>
          <w:rFonts w:ascii="Times New Roman" w:hAnsi="Times New Roman" w:cs="Times New Roman"/>
          <w:sz w:val="20"/>
        </w:rPr>
        <w:t xml:space="preserve"> of these complications were seen in present study.</w:t>
      </w:r>
    </w:p>
    <w:p w:rsidR="00F21D6F" w:rsidRDefault="00F21D6F" w:rsidP="00F21D6F">
      <w:pPr>
        <w:pStyle w:val="ListParagraph"/>
        <w:numPr>
          <w:ilvl w:val="0"/>
          <w:numId w:val="1"/>
        </w:numPr>
        <w:jc w:val="both"/>
        <w:rPr>
          <w:rFonts w:ascii="Times New Roman" w:hAnsi="Times New Roman" w:cs="Times New Roman"/>
          <w:sz w:val="20"/>
        </w:rPr>
      </w:pPr>
      <w:r w:rsidRPr="00F21D6F">
        <w:rPr>
          <w:rFonts w:ascii="Times New Roman" w:hAnsi="Times New Roman" w:cs="Times New Roman"/>
          <w:sz w:val="20"/>
        </w:rPr>
        <w:t xml:space="preserve">Our study provides considerable information that half </w:t>
      </w:r>
      <w:proofErr w:type="spellStart"/>
      <w:r w:rsidRPr="00F21D6F">
        <w:rPr>
          <w:rFonts w:ascii="Times New Roman" w:hAnsi="Times New Roman" w:cs="Times New Roman"/>
          <w:sz w:val="20"/>
        </w:rPr>
        <w:t>fluence</w:t>
      </w:r>
      <w:proofErr w:type="spellEnd"/>
      <w:r w:rsidRPr="00F21D6F">
        <w:rPr>
          <w:rFonts w:ascii="Times New Roman" w:hAnsi="Times New Roman" w:cs="Times New Roman"/>
          <w:sz w:val="20"/>
        </w:rPr>
        <w:t xml:space="preserve"> PDT can be used to successfully treat symptomatic </w:t>
      </w:r>
      <w:r w:rsidRPr="00F21D6F">
        <w:rPr>
          <w:rFonts w:ascii="Times New Roman" w:hAnsi="Times New Roman" w:cs="Times New Roman"/>
          <w:sz w:val="20"/>
        </w:rPr>
        <w:t xml:space="preserve">Circumscribed </w:t>
      </w:r>
      <w:proofErr w:type="spellStart"/>
      <w:r w:rsidRPr="00F21D6F">
        <w:rPr>
          <w:rFonts w:ascii="Times New Roman" w:hAnsi="Times New Roman" w:cs="Times New Roman"/>
          <w:sz w:val="20"/>
        </w:rPr>
        <w:t>Choroidal</w:t>
      </w:r>
      <w:proofErr w:type="spellEnd"/>
      <w:r w:rsidRPr="00F21D6F">
        <w:rPr>
          <w:rFonts w:ascii="Times New Roman" w:hAnsi="Times New Roman" w:cs="Times New Roman"/>
          <w:sz w:val="20"/>
        </w:rPr>
        <w:t xml:space="preserve"> </w:t>
      </w:r>
      <w:proofErr w:type="spellStart"/>
      <w:r w:rsidRPr="00F21D6F">
        <w:rPr>
          <w:rFonts w:ascii="Times New Roman" w:hAnsi="Times New Roman" w:cs="Times New Roman"/>
          <w:sz w:val="20"/>
        </w:rPr>
        <w:t>Haemangiomas</w:t>
      </w:r>
      <w:proofErr w:type="spellEnd"/>
      <w:r w:rsidRPr="00F21D6F">
        <w:rPr>
          <w:rFonts w:ascii="Times New Roman" w:hAnsi="Times New Roman" w:cs="Times New Roman"/>
          <w:sz w:val="20"/>
        </w:rPr>
        <w:t xml:space="preserve"> </w:t>
      </w:r>
      <w:r w:rsidRPr="00F21D6F">
        <w:rPr>
          <w:rFonts w:ascii="Times New Roman" w:hAnsi="Times New Roman" w:cs="Times New Roman"/>
          <w:sz w:val="20"/>
        </w:rPr>
        <w:t xml:space="preserve">(CCHs) without any observable complications. However, we </w:t>
      </w:r>
      <w:r w:rsidRPr="00F21D6F">
        <w:rPr>
          <w:rFonts w:ascii="Times New Roman" w:hAnsi="Times New Roman" w:cs="Times New Roman"/>
          <w:sz w:val="20"/>
        </w:rPr>
        <w:t>recognize</w:t>
      </w:r>
      <w:r w:rsidRPr="00F21D6F">
        <w:rPr>
          <w:rFonts w:ascii="Times New Roman" w:hAnsi="Times New Roman" w:cs="Times New Roman"/>
          <w:sz w:val="20"/>
        </w:rPr>
        <w:t xml:space="preserve"> that a large, prospective, comparative study would provide more significant evidence as to whether present protocol is safe and effective treatment modality.</w:t>
      </w:r>
    </w:p>
    <w:p w:rsidR="00F21D6F" w:rsidRPr="00F21D6F" w:rsidRDefault="00F21D6F" w:rsidP="00F21D6F">
      <w:pPr>
        <w:rPr>
          <w:rFonts w:ascii="Times New Roman" w:hAnsi="Times New Roman" w:cs="Times New Roman"/>
          <w:b/>
          <w:sz w:val="24"/>
        </w:rPr>
      </w:pPr>
      <w:r w:rsidRPr="00F21D6F">
        <w:rPr>
          <w:rFonts w:ascii="Times New Roman" w:hAnsi="Times New Roman" w:cs="Times New Roman"/>
          <w:b/>
          <w:sz w:val="24"/>
        </w:rPr>
        <w:t>Biography</w:t>
      </w:r>
    </w:p>
    <w:p w:rsidR="00F21D6F" w:rsidRPr="00F21D6F" w:rsidRDefault="00F21D6F" w:rsidP="00F21D6F">
      <w:pPr>
        <w:jc w:val="both"/>
        <w:rPr>
          <w:rFonts w:ascii="Times New Roman" w:hAnsi="Times New Roman" w:cs="Times New Roman"/>
          <w:sz w:val="20"/>
        </w:rPr>
      </w:pPr>
      <w:proofErr w:type="spellStart"/>
      <w:r w:rsidRPr="00F21D6F">
        <w:rPr>
          <w:rFonts w:ascii="Times New Roman" w:hAnsi="Times New Roman" w:cs="Times New Roman"/>
          <w:sz w:val="20"/>
        </w:rPr>
        <w:t>Prabhjot</w:t>
      </w:r>
      <w:proofErr w:type="spellEnd"/>
      <w:r w:rsidRPr="00F21D6F">
        <w:rPr>
          <w:rFonts w:ascii="Times New Roman" w:hAnsi="Times New Roman" w:cs="Times New Roman"/>
          <w:sz w:val="20"/>
        </w:rPr>
        <w:t xml:space="preserve"> Singh did his graduation from AIMSR, India. He worked in Indian Navy for five years as Principal Medical Officer. He has organized numerous medical camps in remote islands of Madagascar, Comoros and other island countries during his tenure as Armed Forces Officer. </w:t>
      </w:r>
      <w:r>
        <w:rPr>
          <w:rFonts w:ascii="Times New Roman" w:hAnsi="Times New Roman" w:cs="Times New Roman"/>
          <w:sz w:val="20"/>
        </w:rPr>
        <w:t xml:space="preserve">He </w:t>
      </w:r>
      <w:r w:rsidRPr="00F21D6F">
        <w:rPr>
          <w:rFonts w:ascii="Times New Roman" w:hAnsi="Times New Roman" w:cs="Times New Roman"/>
          <w:sz w:val="20"/>
        </w:rPr>
        <w:t>is now a second year Ophthalmology resident at Armed Forces Medical College, India.</w:t>
      </w:r>
      <w:bookmarkEnd w:id="0"/>
    </w:p>
    <w:sectPr w:rsidR="00F21D6F" w:rsidRPr="00F21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16A68"/>
    <w:multiLevelType w:val="hybridMultilevel"/>
    <w:tmpl w:val="F016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D6F"/>
    <w:rsid w:val="00474203"/>
    <w:rsid w:val="00535872"/>
    <w:rsid w:val="00924B33"/>
    <w:rsid w:val="00F2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D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D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2022-12-20T05:19:00Z</dcterms:created>
  <dcterms:modified xsi:type="dcterms:W3CDTF">2022-12-20T05:26:00Z</dcterms:modified>
</cp:coreProperties>
</file>