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09AA">
      <w:pPr>
        <w:rPr>
          <w:rFonts w:ascii="Times New Roman" w:hAnsi="Times New Roman" w:cs="Times New Roman"/>
          <w:b/>
          <w:sz w:val="32"/>
        </w:rPr>
      </w:pPr>
      <w:commentRangeStart w:id="0"/>
      <w:r w:rsidRPr="00E309AA">
        <w:rPr>
          <w:rFonts w:ascii="Times New Roman" w:hAnsi="Times New Roman" w:cs="Times New Roman"/>
          <w:b/>
          <w:sz w:val="32"/>
        </w:rPr>
        <w:t>Selective GSK3β inhibition med</w:t>
      </w:r>
      <w:r w:rsidR="000D4EBC">
        <w:rPr>
          <w:rFonts w:ascii="Times New Roman" w:hAnsi="Times New Roman" w:cs="Times New Roman"/>
          <w:b/>
          <w:sz w:val="32"/>
        </w:rPr>
        <w:t>iates an Nrf2-independent anti-</w:t>
      </w:r>
      <w:r w:rsidRPr="00E309AA">
        <w:rPr>
          <w:rFonts w:ascii="Times New Roman" w:hAnsi="Times New Roman" w:cs="Times New Roman"/>
          <w:b/>
          <w:sz w:val="32"/>
        </w:rPr>
        <w:t>inflammatory microglial response</w:t>
      </w:r>
      <w:commentRangeEnd w:id="0"/>
      <w:r w:rsidR="0065566C">
        <w:rPr>
          <w:rStyle w:val="CommentReference"/>
        </w:rPr>
        <w:commentReference w:id="0"/>
      </w:r>
    </w:p>
    <w:p w:rsidR="00E309AA" w:rsidRDefault="00E309AA">
      <w:pPr>
        <w:rPr>
          <w:rFonts w:ascii="Times New Roman" w:hAnsi="Times New Roman" w:cs="Times New Roman"/>
          <w:sz w:val="24"/>
        </w:rPr>
      </w:pPr>
      <w:r>
        <w:rPr>
          <w:rFonts w:ascii="Times New Roman" w:hAnsi="Times New Roman" w:cs="Times New Roman"/>
          <w:sz w:val="24"/>
        </w:rPr>
        <w:t xml:space="preserve">Mohamed H. </w:t>
      </w:r>
      <w:proofErr w:type="spellStart"/>
      <w:r>
        <w:rPr>
          <w:rFonts w:ascii="Times New Roman" w:hAnsi="Times New Roman" w:cs="Times New Roman"/>
          <w:sz w:val="24"/>
        </w:rPr>
        <w:t>Yousef</w:t>
      </w:r>
      <w:proofErr w:type="spellEnd"/>
      <w:r>
        <w:rPr>
          <w:rFonts w:ascii="Times New Roman" w:hAnsi="Times New Roman" w:cs="Times New Roman"/>
          <w:sz w:val="24"/>
        </w:rPr>
        <w:t xml:space="preserve">, Mohamed </w:t>
      </w:r>
      <w:proofErr w:type="spellStart"/>
      <w:r>
        <w:rPr>
          <w:rFonts w:ascii="Times New Roman" w:hAnsi="Times New Roman" w:cs="Times New Roman"/>
          <w:sz w:val="24"/>
        </w:rPr>
        <w:t>Salama</w:t>
      </w:r>
      <w:proofErr w:type="spellEnd"/>
      <w:r>
        <w:rPr>
          <w:rFonts w:ascii="Times New Roman" w:hAnsi="Times New Roman" w:cs="Times New Roman"/>
          <w:sz w:val="24"/>
        </w:rPr>
        <w:t>, Hassan A. N. El-</w:t>
      </w:r>
      <w:proofErr w:type="spellStart"/>
      <w:r>
        <w:rPr>
          <w:rFonts w:ascii="Times New Roman" w:hAnsi="Times New Roman" w:cs="Times New Roman"/>
          <w:sz w:val="24"/>
        </w:rPr>
        <w:t>Fawal</w:t>
      </w:r>
      <w:proofErr w:type="spellEnd"/>
      <w:r>
        <w:rPr>
          <w:rFonts w:ascii="Times New Roman" w:hAnsi="Times New Roman" w:cs="Times New Roman"/>
          <w:sz w:val="24"/>
        </w:rPr>
        <w:t xml:space="preserve"> and Anwar </w:t>
      </w:r>
      <w:proofErr w:type="spellStart"/>
      <w:r>
        <w:rPr>
          <w:rFonts w:ascii="Times New Roman" w:hAnsi="Times New Roman" w:cs="Times New Roman"/>
          <w:sz w:val="24"/>
        </w:rPr>
        <w:t>Abdelnaser</w:t>
      </w:r>
      <w:proofErr w:type="spellEnd"/>
      <w:r w:rsidRPr="00E309AA">
        <w:rPr>
          <w:rFonts w:ascii="Times New Roman" w:hAnsi="Times New Roman" w:cs="Times New Roman"/>
          <w:sz w:val="24"/>
        </w:rPr>
        <w:t>*</w:t>
      </w:r>
    </w:p>
    <w:p w:rsidR="00E309AA" w:rsidRPr="00E309AA" w:rsidRDefault="00E309AA">
      <w:pPr>
        <w:rPr>
          <w:rFonts w:ascii="Times New Roman" w:hAnsi="Times New Roman" w:cs="Times New Roman"/>
        </w:rPr>
      </w:pPr>
      <w:r w:rsidRPr="00E309AA">
        <w:rPr>
          <w:rFonts w:ascii="Times New Roman" w:hAnsi="Times New Roman" w:cs="Times New Roman"/>
        </w:rPr>
        <w:t>The American University in Cairo, Egypt</w:t>
      </w:r>
    </w:p>
    <w:p w:rsidR="00E309AA" w:rsidRPr="00E309AA" w:rsidRDefault="00E309AA" w:rsidP="00E309AA">
      <w:pPr>
        <w:jc w:val="center"/>
        <w:rPr>
          <w:rFonts w:ascii="Times New Roman" w:hAnsi="Times New Roman" w:cs="Times New Roman"/>
          <w:b/>
          <w:sz w:val="24"/>
        </w:rPr>
      </w:pPr>
      <w:r w:rsidRPr="00E309AA">
        <w:rPr>
          <w:rFonts w:ascii="Times New Roman" w:hAnsi="Times New Roman" w:cs="Times New Roman"/>
          <w:b/>
          <w:sz w:val="24"/>
        </w:rPr>
        <w:t>Abstract</w:t>
      </w:r>
    </w:p>
    <w:p w:rsidR="00E309AA" w:rsidRPr="00E309AA" w:rsidRDefault="00E309AA" w:rsidP="00E309AA">
      <w:pPr>
        <w:jc w:val="both"/>
        <w:rPr>
          <w:rFonts w:ascii="Times New Roman" w:hAnsi="Times New Roman" w:cs="Times New Roman"/>
          <w:sz w:val="20"/>
        </w:rPr>
      </w:pPr>
      <w:r w:rsidRPr="00E309AA">
        <w:rPr>
          <w:rFonts w:ascii="Times New Roman" w:hAnsi="Times New Roman" w:cs="Times New Roman"/>
          <w:sz w:val="20"/>
        </w:rPr>
        <w:t xml:space="preserve">Glycogen Synthase Kinase 3 (GSK3) is associated with the </w:t>
      </w:r>
      <w:proofErr w:type="spellStart"/>
      <w:r w:rsidRPr="00E309AA">
        <w:rPr>
          <w:rFonts w:ascii="Times New Roman" w:hAnsi="Times New Roman" w:cs="Times New Roman"/>
          <w:sz w:val="20"/>
        </w:rPr>
        <w:t>proinflammatory</w:t>
      </w:r>
      <w:proofErr w:type="spellEnd"/>
      <w:r w:rsidRPr="00E309AA">
        <w:rPr>
          <w:rFonts w:ascii="Times New Roman" w:hAnsi="Times New Roman" w:cs="Times New Roman"/>
          <w:sz w:val="20"/>
        </w:rPr>
        <w:t xml:space="preserve"> phenotype of microglia and has been shown to act in concert with nuclear factor kappa B (NF-</w:t>
      </w:r>
      <w:proofErr w:type="spellStart"/>
      <w:r w:rsidRPr="00E309AA">
        <w:rPr>
          <w:rFonts w:ascii="Times New Roman" w:hAnsi="Times New Roman" w:cs="Times New Roman"/>
          <w:sz w:val="20"/>
        </w:rPr>
        <w:t>κB</w:t>
      </w:r>
      <w:proofErr w:type="spellEnd"/>
      <w:r w:rsidRPr="00E309AA">
        <w:rPr>
          <w:rFonts w:ascii="Times New Roman" w:hAnsi="Times New Roman" w:cs="Times New Roman"/>
          <w:sz w:val="20"/>
        </w:rPr>
        <w:t xml:space="preserve">). GSK3 is also a suppressor of </w:t>
      </w:r>
      <w:r w:rsidRPr="00E309AA">
        <w:rPr>
          <w:rFonts w:ascii="Times New Roman" w:hAnsi="Times New Roman" w:cs="Times New Roman"/>
          <w:sz w:val="20"/>
        </w:rPr>
        <w:t xml:space="preserve">Nuclear </w:t>
      </w:r>
      <w:r w:rsidRPr="00E309AA">
        <w:rPr>
          <w:rFonts w:ascii="Times New Roman" w:hAnsi="Times New Roman" w:cs="Times New Roman"/>
          <w:sz w:val="20"/>
        </w:rPr>
        <w:t xml:space="preserve">factor </w:t>
      </w:r>
      <w:proofErr w:type="spellStart"/>
      <w:r w:rsidRPr="00E309AA">
        <w:rPr>
          <w:rFonts w:ascii="Times New Roman" w:hAnsi="Times New Roman" w:cs="Times New Roman"/>
          <w:sz w:val="20"/>
        </w:rPr>
        <w:t>erythroid</w:t>
      </w:r>
      <w:proofErr w:type="spellEnd"/>
      <w:r w:rsidRPr="00E309AA">
        <w:rPr>
          <w:rFonts w:ascii="Times New Roman" w:hAnsi="Times New Roman" w:cs="Times New Roman"/>
          <w:sz w:val="20"/>
        </w:rPr>
        <w:t xml:space="preserve"> 2-related factor 2 (Nrf2), the principal regulator</w:t>
      </w:r>
      <w:bookmarkStart w:id="1" w:name="_GoBack"/>
      <w:bookmarkEnd w:id="1"/>
      <w:r w:rsidRPr="00E309AA">
        <w:rPr>
          <w:rFonts w:ascii="Times New Roman" w:hAnsi="Times New Roman" w:cs="Times New Roman"/>
          <w:sz w:val="20"/>
        </w:rPr>
        <w:t xml:space="preserve"> of redox homeostasis. Agreeing with the oxidative paradigm of aging, Nrf2 is often deregulated in </w:t>
      </w:r>
      <w:r w:rsidR="00A14BE3" w:rsidRPr="00E309AA">
        <w:rPr>
          <w:rFonts w:ascii="Times New Roman" w:hAnsi="Times New Roman" w:cs="Times New Roman"/>
          <w:sz w:val="20"/>
        </w:rPr>
        <w:t>Para inflammatory</w:t>
      </w:r>
      <w:r w:rsidRPr="00E309AA">
        <w:rPr>
          <w:rFonts w:ascii="Times New Roman" w:hAnsi="Times New Roman" w:cs="Times New Roman"/>
          <w:sz w:val="20"/>
        </w:rPr>
        <w:t xml:space="preserve"> and neurodegenerative diseases. In this study, we aimed to explore a multimodal disease-modifying utility of GSK3 inhibition, beyond neuronal </w:t>
      </w:r>
      <w:proofErr w:type="spellStart"/>
      <w:r w:rsidRPr="00E309AA">
        <w:rPr>
          <w:rFonts w:ascii="Times New Roman" w:hAnsi="Times New Roman" w:cs="Times New Roman"/>
          <w:sz w:val="20"/>
        </w:rPr>
        <w:t>proteopathologies</w:t>
      </w:r>
      <w:proofErr w:type="spellEnd"/>
      <w:r w:rsidRPr="00E309AA">
        <w:rPr>
          <w:rFonts w:ascii="Times New Roman" w:hAnsi="Times New Roman" w:cs="Times New Roman"/>
          <w:sz w:val="20"/>
        </w:rPr>
        <w:t xml:space="preserve">. Furthermore; we aimed to underscore the difference in therapeutic value between the two GSK3 </w:t>
      </w:r>
      <w:proofErr w:type="spellStart"/>
      <w:r w:rsidRPr="00E309AA">
        <w:rPr>
          <w:rFonts w:ascii="Times New Roman" w:hAnsi="Times New Roman" w:cs="Times New Roman"/>
          <w:sz w:val="20"/>
        </w:rPr>
        <w:t>paralogs</w:t>
      </w:r>
      <w:proofErr w:type="spellEnd"/>
      <w:r w:rsidRPr="00E309AA">
        <w:rPr>
          <w:rFonts w:ascii="Times New Roman" w:hAnsi="Times New Roman" w:cs="Times New Roman"/>
          <w:sz w:val="20"/>
        </w:rPr>
        <w:t xml:space="preserve"> by isoform-selective chemical inhibition.</w:t>
      </w:r>
    </w:p>
    <w:p w:rsidR="00E309AA" w:rsidRPr="00E309AA" w:rsidRDefault="00E309AA" w:rsidP="00E309AA">
      <w:pPr>
        <w:jc w:val="both"/>
        <w:rPr>
          <w:rFonts w:ascii="Times New Roman" w:hAnsi="Times New Roman" w:cs="Times New Roman"/>
          <w:sz w:val="20"/>
        </w:rPr>
      </w:pPr>
      <w:r w:rsidRPr="00E309AA">
        <w:rPr>
          <w:rFonts w:ascii="Times New Roman" w:hAnsi="Times New Roman" w:cs="Times New Roman"/>
          <w:sz w:val="20"/>
        </w:rPr>
        <w:t xml:space="preserve">The anti-inflammatory effects of </w:t>
      </w:r>
      <w:proofErr w:type="spellStart"/>
      <w:r w:rsidRPr="00E309AA">
        <w:rPr>
          <w:rFonts w:ascii="Times New Roman" w:hAnsi="Times New Roman" w:cs="Times New Roman"/>
          <w:sz w:val="20"/>
        </w:rPr>
        <w:t>paralog</w:t>
      </w:r>
      <w:proofErr w:type="spellEnd"/>
      <w:r w:rsidRPr="00E309AA">
        <w:rPr>
          <w:rFonts w:ascii="Times New Roman" w:hAnsi="Times New Roman" w:cs="Times New Roman"/>
          <w:sz w:val="20"/>
        </w:rPr>
        <w:t xml:space="preserve">-selective GSK3 inhibitors were evaluated as a function of the reductive capacity of each to mitigate LPS-induced activation of SIM-A9 microglia. The </w:t>
      </w:r>
      <w:proofErr w:type="spellStart"/>
      <w:r w:rsidRPr="00E309AA">
        <w:rPr>
          <w:rFonts w:ascii="Times New Roman" w:hAnsi="Times New Roman" w:cs="Times New Roman"/>
          <w:sz w:val="20"/>
        </w:rPr>
        <w:t>Griess</w:t>
      </w:r>
      <w:proofErr w:type="spellEnd"/>
      <w:r w:rsidRPr="00E309AA">
        <w:rPr>
          <w:rFonts w:ascii="Times New Roman" w:hAnsi="Times New Roman" w:cs="Times New Roman"/>
          <w:sz w:val="20"/>
        </w:rPr>
        <w:t xml:space="preserve"> method was employed to detect the nitrate-lowering capacity of selective GSK3 inhibition. Real-time PCR was used to assess post-treatment expression levels of pro-inflammatory markers and antioxidant genes; pro- inflammatory cytokines were assayed by ELISA. Nuclear lysates of treated cells were examined for Nrf2 and NF-</w:t>
      </w:r>
      <w:proofErr w:type="spellStart"/>
      <w:r w:rsidRPr="00E309AA">
        <w:rPr>
          <w:rFonts w:ascii="Times New Roman" w:hAnsi="Times New Roman" w:cs="Times New Roman"/>
          <w:sz w:val="20"/>
        </w:rPr>
        <w:t>κB</w:t>
      </w:r>
      <w:proofErr w:type="spellEnd"/>
      <w:r w:rsidRPr="00E309AA">
        <w:rPr>
          <w:rFonts w:ascii="Times New Roman" w:hAnsi="Times New Roman" w:cs="Times New Roman"/>
          <w:sz w:val="20"/>
        </w:rPr>
        <w:t xml:space="preserve"> accumulation by </w:t>
      </w:r>
      <w:proofErr w:type="spellStart"/>
      <w:r w:rsidRPr="00E309AA">
        <w:rPr>
          <w:rFonts w:ascii="Times New Roman" w:hAnsi="Times New Roman" w:cs="Times New Roman"/>
          <w:sz w:val="20"/>
        </w:rPr>
        <w:t>immunoblotting</w:t>
      </w:r>
      <w:proofErr w:type="spellEnd"/>
      <w:r w:rsidRPr="00E309AA">
        <w:rPr>
          <w:rFonts w:ascii="Times New Roman" w:hAnsi="Times New Roman" w:cs="Times New Roman"/>
          <w:sz w:val="20"/>
        </w:rPr>
        <w:t xml:space="preserve">. Finally, to infer whether the counter-inflammatory activity of GSK3 inhibition was Nrf2-dependent, </w:t>
      </w:r>
      <w:proofErr w:type="spellStart"/>
      <w:r w:rsidRPr="00E309AA">
        <w:rPr>
          <w:rFonts w:ascii="Times New Roman" w:hAnsi="Times New Roman" w:cs="Times New Roman"/>
          <w:sz w:val="20"/>
        </w:rPr>
        <w:t>DsiRNA</w:t>
      </w:r>
      <w:proofErr w:type="spellEnd"/>
      <w:r w:rsidRPr="00E309AA">
        <w:rPr>
          <w:rFonts w:ascii="Times New Roman" w:hAnsi="Times New Roman" w:cs="Times New Roman"/>
          <w:sz w:val="20"/>
        </w:rPr>
        <w:t>-mediated knockdown of Nrf2 was attempted.</w:t>
      </w:r>
    </w:p>
    <w:p w:rsidR="00E309AA" w:rsidRPr="00E309AA" w:rsidRDefault="00E309AA" w:rsidP="00E309AA">
      <w:pPr>
        <w:jc w:val="both"/>
        <w:rPr>
          <w:rFonts w:ascii="Times New Roman" w:hAnsi="Times New Roman" w:cs="Times New Roman"/>
          <w:sz w:val="20"/>
        </w:rPr>
      </w:pPr>
      <w:r w:rsidRPr="00E309AA">
        <w:rPr>
          <w:rFonts w:ascii="Times New Roman" w:hAnsi="Times New Roman" w:cs="Times New Roman"/>
          <w:sz w:val="20"/>
        </w:rPr>
        <w:t>Results from our experiments reveal a superior anti-inflammatory and ant</w:t>
      </w:r>
      <w:r w:rsidR="0065566C">
        <w:rPr>
          <w:rFonts w:ascii="Times New Roman" w:hAnsi="Times New Roman" w:cs="Times New Roman"/>
          <w:sz w:val="20"/>
        </w:rPr>
        <w:t>i-oxidative efficacy for GSK3β-</w:t>
      </w:r>
      <w:r w:rsidRPr="00E309AA">
        <w:rPr>
          <w:rFonts w:ascii="Times New Roman" w:hAnsi="Times New Roman" w:cs="Times New Roman"/>
          <w:sz w:val="20"/>
        </w:rPr>
        <w:t xml:space="preserve">selective inhibition, compared to GSK3α-selective and non-selective pan-inhibition; hence use of selective GSK3β inhibitors is likely to be more propitious than non-selective dual inhibitors administered at comparable doses. Moreover, our results suggest that the anti-inflammatory </w:t>
      </w:r>
      <w:r w:rsidRPr="00E309AA">
        <w:rPr>
          <w:rFonts w:ascii="Times New Roman" w:hAnsi="Times New Roman" w:cs="Times New Roman"/>
          <w:sz w:val="20"/>
        </w:rPr>
        <w:t>effects of GSK3 inhibition are</w:t>
      </w:r>
      <w:r w:rsidRPr="00E309AA">
        <w:rPr>
          <w:rFonts w:ascii="Times New Roman" w:hAnsi="Times New Roman" w:cs="Times New Roman"/>
          <w:sz w:val="20"/>
        </w:rPr>
        <w:t xml:space="preserve"> not Nrf2 dependent.</w:t>
      </w:r>
    </w:p>
    <w:p w:rsidR="00E309AA" w:rsidRDefault="00E309AA" w:rsidP="00E309AA">
      <w:pPr>
        <w:jc w:val="both"/>
        <w:rPr>
          <w:rFonts w:ascii="Times New Roman" w:hAnsi="Times New Roman" w:cs="Times New Roman"/>
          <w:sz w:val="20"/>
        </w:rPr>
      </w:pPr>
      <w:r w:rsidRPr="00E309AA">
        <w:rPr>
          <w:rFonts w:ascii="Times New Roman" w:hAnsi="Times New Roman" w:cs="Times New Roman"/>
          <w:b/>
          <w:sz w:val="20"/>
        </w:rPr>
        <w:t>Keywords:</w:t>
      </w:r>
      <w:r w:rsidRPr="00E309AA">
        <w:rPr>
          <w:rFonts w:ascii="Times New Roman" w:hAnsi="Times New Roman" w:cs="Times New Roman"/>
          <w:sz w:val="20"/>
        </w:rPr>
        <w:t xml:space="preserve"> GSK3</w:t>
      </w:r>
      <w:r>
        <w:rPr>
          <w:rFonts w:ascii="Times New Roman" w:hAnsi="Times New Roman" w:cs="Times New Roman"/>
          <w:sz w:val="20"/>
        </w:rPr>
        <w:t>,</w:t>
      </w:r>
      <w:r w:rsidRPr="00E309AA">
        <w:rPr>
          <w:rFonts w:ascii="Times New Roman" w:hAnsi="Times New Roman" w:cs="Times New Roman"/>
          <w:sz w:val="20"/>
        </w:rPr>
        <w:t xml:space="preserve"> </w:t>
      </w:r>
      <w:proofErr w:type="spellStart"/>
      <w:r w:rsidRPr="00E309AA">
        <w:rPr>
          <w:rFonts w:ascii="Times New Roman" w:hAnsi="Times New Roman" w:cs="Times New Roman"/>
          <w:sz w:val="20"/>
        </w:rPr>
        <w:t>Paralog</w:t>
      </w:r>
      <w:proofErr w:type="spellEnd"/>
      <w:r w:rsidRPr="00E309AA">
        <w:rPr>
          <w:rFonts w:ascii="Times New Roman" w:hAnsi="Times New Roman" w:cs="Times New Roman"/>
          <w:sz w:val="20"/>
        </w:rPr>
        <w:t xml:space="preserve"> selectivity</w:t>
      </w:r>
      <w:r>
        <w:rPr>
          <w:rFonts w:ascii="Times New Roman" w:hAnsi="Times New Roman" w:cs="Times New Roman"/>
          <w:sz w:val="20"/>
        </w:rPr>
        <w:t>,</w:t>
      </w:r>
      <w:r w:rsidRPr="00E309AA">
        <w:rPr>
          <w:rFonts w:ascii="Times New Roman" w:hAnsi="Times New Roman" w:cs="Times New Roman"/>
          <w:sz w:val="20"/>
        </w:rPr>
        <w:t xml:space="preserve"> Microglia</w:t>
      </w:r>
      <w:r>
        <w:rPr>
          <w:rFonts w:ascii="Times New Roman" w:hAnsi="Times New Roman" w:cs="Times New Roman"/>
          <w:sz w:val="20"/>
        </w:rPr>
        <w:t>,</w:t>
      </w:r>
      <w:r w:rsidRPr="00E309AA">
        <w:rPr>
          <w:rFonts w:ascii="Times New Roman" w:hAnsi="Times New Roman" w:cs="Times New Roman"/>
          <w:sz w:val="20"/>
        </w:rPr>
        <w:t xml:space="preserve"> </w:t>
      </w:r>
      <w:proofErr w:type="spellStart"/>
      <w:r w:rsidRPr="00E309AA">
        <w:rPr>
          <w:rFonts w:ascii="Times New Roman" w:hAnsi="Times New Roman" w:cs="Times New Roman"/>
          <w:sz w:val="20"/>
        </w:rPr>
        <w:t>Neuroinflammation</w:t>
      </w:r>
      <w:proofErr w:type="spellEnd"/>
      <w:r>
        <w:rPr>
          <w:rFonts w:ascii="Times New Roman" w:hAnsi="Times New Roman" w:cs="Times New Roman"/>
          <w:sz w:val="20"/>
        </w:rPr>
        <w:t>,</w:t>
      </w:r>
      <w:r w:rsidRPr="00E309AA">
        <w:rPr>
          <w:rFonts w:ascii="Times New Roman" w:hAnsi="Times New Roman" w:cs="Times New Roman"/>
          <w:sz w:val="20"/>
        </w:rPr>
        <w:t xml:space="preserve"> Neurodegenerative diseases</w:t>
      </w:r>
      <w:r>
        <w:rPr>
          <w:rFonts w:ascii="Times New Roman" w:hAnsi="Times New Roman" w:cs="Times New Roman"/>
          <w:sz w:val="20"/>
        </w:rPr>
        <w:t>,</w:t>
      </w:r>
      <w:r w:rsidRPr="00E309AA">
        <w:rPr>
          <w:rFonts w:ascii="Times New Roman" w:hAnsi="Times New Roman" w:cs="Times New Roman"/>
          <w:sz w:val="20"/>
        </w:rPr>
        <w:t xml:space="preserve"> Oxidative stress</w:t>
      </w:r>
      <w:r>
        <w:rPr>
          <w:rFonts w:ascii="Times New Roman" w:hAnsi="Times New Roman" w:cs="Times New Roman"/>
          <w:sz w:val="20"/>
        </w:rPr>
        <w:t xml:space="preserve">, </w:t>
      </w:r>
      <w:r w:rsidRPr="00E309AA">
        <w:rPr>
          <w:rFonts w:ascii="Times New Roman" w:hAnsi="Times New Roman" w:cs="Times New Roman"/>
          <w:sz w:val="20"/>
        </w:rPr>
        <w:t>Nrf2</w:t>
      </w:r>
      <w:r>
        <w:rPr>
          <w:rFonts w:ascii="Times New Roman" w:hAnsi="Times New Roman" w:cs="Times New Roman"/>
          <w:sz w:val="20"/>
        </w:rPr>
        <w:t>,</w:t>
      </w:r>
      <w:r w:rsidRPr="00E309AA">
        <w:rPr>
          <w:rFonts w:ascii="Times New Roman" w:hAnsi="Times New Roman" w:cs="Times New Roman"/>
          <w:sz w:val="20"/>
        </w:rPr>
        <w:t xml:space="preserve"> NF-</w:t>
      </w:r>
      <w:proofErr w:type="spellStart"/>
      <w:r w:rsidRPr="00E309AA">
        <w:rPr>
          <w:rFonts w:ascii="Times New Roman" w:hAnsi="Times New Roman" w:cs="Times New Roman"/>
          <w:sz w:val="20"/>
        </w:rPr>
        <w:t>κB</w:t>
      </w:r>
      <w:proofErr w:type="spellEnd"/>
      <w:r w:rsidRPr="00E309AA">
        <w:rPr>
          <w:rFonts w:ascii="Times New Roman" w:hAnsi="Times New Roman" w:cs="Times New Roman"/>
          <w:sz w:val="20"/>
        </w:rPr>
        <w:t>.</w:t>
      </w:r>
    </w:p>
    <w:p w:rsidR="00E309AA" w:rsidRDefault="00E309AA" w:rsidP="00E309A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1D61E4">
            <wp:extent cx="2713939" cy="22896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19070" cy="2293987"/>
                    </a:xfrm>
                    <a:prstGeom prst="rect">
                      <a:avLst/>
                    </a:prstGeom>
                    <a:noFill/>
                  </pic:spPr>
                </pic:pic>
              </a:graphicData>
            </a:graphic>
          </wp:inline>
        </w:drawing>
      </w:r>
    </w:p>
    <w:p w:rsidR="00E309AA" w:rsidRPr="00A14BE3" w:rsidRDefault="00E309AA" w:rsidP="00E309AA">
      <w:pPr>
        <w:jc w:val="center"/>
        <w:rPr>
          <w:rFonts w:ascii="Times New Roman" w:hAnsi="Times New Roman" w:cs="Times New Roman"/>
          <w:i/>
          <w:sz w:val="20"/>
        </w:rPr>
      </w:pPr>
      <w:proofErr w:type="gramStart"/>
      <w:r w:rsidRPr="00A14BE3">
        <w:rPr>
          <w:rFonts w:ascii="Times New Roman" w:hAnsi="Times New Roman" w:cs="Times New Roman"/>
          <w:b/>
          <w:i/>
          <w:sz w:val="18"/>
        </w:rPr>
        <w:t>Figure 1.</w:t>
      </w:r>
      <w:proofErr w:type="gramEnd"/>
      <w:r w:rsidR="00A14BE3" w:rsidRPr="00A14BE3">
        <w:rPr>
          <w:rFonts w:ascii="Times New Roman" w:hAnsi="Times New Roman" w:cs="Times New Roman"/>
          <w:i/>
          <w:sz w:val="18"/>
        </w:rPr>
        <w:t xml:space="preserve"> Selective GSK3β inhibition mediates an Nrf2-independent anti-inflammatory microglial response.</w:t>
      </w:r>
    </w:p>
    <w:p w:rsidR="00E309AA" w:rsidRPr="00A14BE3" w:rsidRDefault="00E309AA" w:rsidP="00E309AA">
      <w:pPr>
        <w:rPr>
          <w:rFonts w:ascii="Times New Roman" w:hAnsi="Times New Roman" w:cs="Times New Roman"/>
          <w:b/>
          <w:sz w:val="24"/>
        </w:rPr>
      </w:pPr>
      <w:r w:rsidRPr="00A14BE3">
        <w:rPr>
          <w:rFonts w:ascii="Times New Roman" w:hAnsi="Times New Roman" w:cs="Times New Roman"/>
          <w:b/>
          <w:sz w:val="24"/>
        </w:rPr>
        <w:lastRenderedPageBreak/>
        <w:t>Biography</w:t>
      </w:r>
    </w:p>
    <w:p w:rsidR="00E309AA" w:rsidRDefault="00A14BE3" w:rsidP="00A14BE3">
      <w:pPr>
        <w:jc w:val="both"/>
        <w:rPr>
          <w:rFonts w:ascii="Times New Roman" w:hAnsi="Times New Roman" w:cs="Times New Roman"/>
          <w:sz w:val="20"/>
        </w:rPr>
      </w:pPr>
      <w:proofErr w:type="spellStart"/>
      <w:r w:rsidRPr="00A14BE3">
        <w:rPr>
          <w:rFonts w:ascii="Times New Roman" w:hAnsi="Times New Roman" w:cs="Times New Roman"/>
          <w:sz w:val="20"/>
        </w:rPr>
        <w:t>Abdelnaser</w:t>
      </w:r>
      <w:proofErr w:type="spellEnd"/>
      <w:r w:rsidRPr="00A14BE3">
        <w:rPr>
          <w:rFonts w:ascii="Times New Roman" w:hAnsi="Times New Roman" w:cs="Times New Roman"/>
          <w:sz w:val="20"/>
        </w:rPr>
        <w:t xml:space="preserve"> is an assistant professor of chemistry at the School of Science and Engineering of The American University in Cairo. </w:t>
      </w:r>
      <w:proofErr w:type="spellStart"/>
      <w:r w:rsidRPr="00A14BE3">
        <w:rPr>
          <w:rFonts w:ascii="Times New Roman" w:hAnsi="Times New Roman" w:cs="Times New Roman"/>
          <w:sz w:val="20"/>
        </w:rPr>
        <w:t>Abdelnaser</w:t>
      </w:r>
      <w:proofErr w:type="spellEnd"/>
      <w:r w:rsidRPr="00A14BE3">
        <w:rPr>
          <w:rFonts w:ascii="Times New Roman" w:hAnsi="Times New Roman" w:cs="Times New Roman"/>
          <w:sz w:val="20"/>
        </w:rPr>
        <w:t xml:space="preserve"> received his bachelor of pharmacy (B</w:t>
      </w:r>
      <w:r>
        <w:rPr>
          <w:rFonts w:ascii="Times New Roman" w:hAnsi="Times New Roman" w:cs="Times New Roman"/>
          <w:sz w:val="20"/>
        </w:rPr>
        <w:t xml:space="preserve"> </w:t>
      </w:r>
      <w:r w:rsidRPr="00A14BE3">
        <w:rPr>
          <w:rFonts w:ascii="Times New Roman" w:hAnsi="Times New Roman" w:cs="Times New Roman"/>
          <w:sz w:val="20"/>
        </w:rPr>
        <w:t xml:space="preserve">Pharm) degree from Ajman University, Ajman, United Arab Emirates in 2006 and his MSc and PhD from the University of Alberta, Edmonton, Alberta, Canada in 2008 and 2013, respectively. Following this, he worked as a post-doctoral associate at the University of Alberta for three years. During his graduate and post-doctoral studies, </w:t>
      </w:r>
      <w:proofErr w:type="spellStart"/>
      <w:r w:rsidRPr="00A14BE3">
        <w:rPr>
          <w:rFonts w:ascii="Times New Roman" w:hAnsi="Times New Roman" w:cs="Times New Roman"/>
          <w:sz w:val="20"/>
        </w:rPr>
        <w:t>Abdelnaser</w:t>
      </w:r>
      <w:proofErr w:type="spellEnd"/>
      <w:r w:rsidRPr="00A14BE3">
        <w:rPr>
          <w:rFonts w:ascii="Times New Roman" w:hAnsi="Times New Roman" w:cs="Times New Roman"/>
          <w:sz w:val="20"/>
        </w:rPr>
        <w:t xml:space="preserve"> received several universities, provincial and federal awards and scholarships. He has published over 40 peer-reviewed articles in international journals and a similar number of abstracts in local, regional, international meetings and conferences.</w:t>
      </w:r>
    </w:p>
    <w:sectPr w:rsidR="00E309A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5T14:38:00Z" w:initials="SS">
    <w:p w:rsidR="0065566C" w:rsidRDefault="0065566C">
      <w:pPr>
        <w:pStyle w:val="CommentText"/>
      </w:pPr>
      <w:r>
        <w:rPr>
          <w:rStyle w:val="CommentReference"/>
        </w:rPr>
        <w:annotationRef/>
      </w:r>
      <w:r>
        <w:t>Already published. Please find the below links for your reference.</w:t>
      </w:r>
    </w:p>
    <w:p w:rsidR="0065566C" w:rsidRDefault="0065566C">
      <w:pPr>
        <w:pStyle w:val="CommentText"/>
      </w:pPr>
    </w:p>
    <w:p w:rsidR="0065566C" w:rsidRDefault="0065566C" w:rsidP="0065566C">
      <w:pPr>
        <w:pStyle w:val="CommentText"/>
        <w:numPr>
          <w:ilvl w:val="0"/>
          <w:numId w:val="1"/>
        </w:numPr>
      </w:pPr>
      <w:hyperlink r:id="rId1" w:history="1">
        <w:r w:rsidRPr="002A3570">
          <w:rPr>
            <w:rStyle w:val="Hyperlink"/>
          </w:rPr>
          <w:t>https://pubmed.ncbi.nlm.nih.gov/35739410/</w:t>
        </w:r>
      </w:hyperlink>
    </w:p>
    <w:p w:rsidR="0065566C" w:rsidRDefault="0065566C" w:rsidP="0065566C">
      <w:pPr>
        <w:pStyle w:val="CommentText"/>
        <w:numPr>
          <w:ilvl w:val="0"/>
          <w:numId w:val="1"/>
        </w:numPr>
      </w:pPr>
      <w:hyperlink r:id="rId2" w:history="1">
        <w:r w:rsidRPr="002A3570">
          <w:rPr>
            <w:rStyle w:val="Hyperlink"/>
          </w:rPr>
          <w:t>https://www.researchgate.net/publication/361498523_Selective_GSK3b_Inhibition_Mediates_an_Nrf2-Independent_Anti-inflammatory_Microglial_Response</w:t>
        </w:r>
      </w:hyperlink>
    </w:p>
    <w:p w:rsidR="0065566C" w:rsidRDefault="0065566C" w:rsidP="0065566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55748"/>
    <w:multiLevelType w:val="hybridMultilevel"/>
    <w:tmpl w:val="65FCF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9AA"/>
    <w:rsid w:val="000D4EBC"/>
    <w:rsid w:val="00474203"/>
    <w:rsid w:val="00535872"/>
    <w:rsid w:val="0065566C"/>
    <w:rsid w:val="00924B33"/>
    <w:rsid w:val="00A14BE3"/>
    <w:rsid w:val="00E30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9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9AA"/>
    <w:rPr>
      <w:rFonts w:ascii="Tahoma" w:hAnsi="Tahoma" w:cs="Tahoma"/>
      <w:sz w:val="16"/>
      <w:szCs w:val="16"/>
    </w:rPr>
  </w:style>
  <w:style w:type="character" w:styleId="CommentReference">
    <w:name w:val="annotation reference"/>
    <w:basedOn w:val="DefaultParagraphFont"/>
    <w:uiPriority w:val="99"/>
    <w:semiHidden/>
    <w:unhideWhenUsed/>
    <w:rsid w:val="0065566C"/>
    <w:rPr>
      <w:sz w:val="16"/>
      <w:szCs w:val="16"/>
    </w:rPr>
  </w:style>
  <w:style w:type="paragraph" w:styleId="CommentText">
    <w:name w:val="annotation text"/>
    <w:basedOn w:val="Normal"/>
    <w:link w:val="CommentTextChar"/>
    <w:uiPriority w:val="99"/>
    <w:semiHidden/>
    <w:unhideWhenUsed/>
    <w:rsid w:val="0065566C"/>
    <w:pPr>
      <w:spacing w:line="240" w:lineRule="auto"/>
    </w:pPr>
    <w:rPr>
      <w:sz w:val="20"/>
      <w:szCs w:val="20"/>
    </w:rPr>
  </w:style>
  <w:style w:type="character" w:customStyle="1" w:styleId="CommentTextChar">
    <w:name w:val="Comment Text Char"/>
    <w:basedOn w:val="DefaultParagraphFont"/>
    <w:link w:val="CommentText"/>
    <w:uiPriority w:val="99"/>
    <w:semiHidden/>
    <w:rsid w:val="0065566C"/>
    <w:rPr>
      <w:sz w:val="20"/>
      <w:szCs w:val="20"/>
    </w:rPr>
  </w:style>
  <w:style w:type="paragraph" w:styleId="CommentSubject">
    <w:name w:val="annotation subject"/>
    <w:basedOn w:val="CommentText"/>
    <w:next w:val="CommentText"/>
    <w:link w:val="CommentSubjectChar"/>
    <w:uiPriority w:val="99"/>
    <w:semiHidden/>
    <w:unhideWhenUsed/>
    <w:rsid w:val="0065566C"/>
    <w:rPr>
      <w:b/>
      <w:bCs/>
    </w:rPr>
  </w:style>
  <w:style w:type="character" w:customStyle="1" w:styleId="CommentSubjectChar">
    <w:name w:val="Comment Subject Char"/>
    <w:basedOn w:val="CommentTextChar"/>
    <w:link w:val="CommentSubject"/>
    <w:uiPriority w:val="99"/>
    <w:semiHidden/>
    <w:rsid w:val="0065566C"/>
    <w:rPr>
      <w:b/>
      <w:bCs/>
      <w:sz w:val="20"/>
      <w:szCs w:val="20"/>
    </w:rPr>
  </w:style>
  <w:style w:type="character" w:styleId="Hyperlink">
    <w:name w:val="Hyperlink"/>
    <w:basedOn w:val="DefaultParagraphFont"/>
    <w:uiPriority w:val="99"/>
    <w:unhideWhenUsed/>
    <w:rsid w:val="006556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9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9AA"/>
    <w:rPr>
      <w:rFonts w:ascii="Tahoma" w:hAnsi="Tahoma" w:cs="Tahoma"/>
      <w:sz w:val="16"/>
      <w:szCs w:val="16"/>
    </w:rPr>
  </w:style>
  <w:style w:type="character" w:styleId="CommentReference">
    <w:name w:val="annotation reference"/>
    <w:basedOn w:val="DefaultParagraphFont"/>
    <w:uiPriority w:val="99"/>
    <w:semiHidden/>
    <w:unhideWhenUsed/>
    <w:rsid w:val="0065566C"/>
    <w:rPr>
      <w:sz w:val="16"/>
      <w:szCs w:val="16"/>
    </w:rPr>
  </w:style>
  <w:style w:type="paragraph" w:styleId="CommentText">
    <w:name w:val="annotation text"/>
    <w:basedOn w:val="Normal"/>
    <w:link w:val="CommentTextChar"/>
    <w:uiPriority w:val="99"/>
    <w:semiHidden/>
    <w:unhideWhenUsed/>
    <w:rsid w:val="0065566C"/>
    <w:pPr>
      <w:spacing w:line="240" w:lineRule="auto"/>
    </w:pPr>
    <w:rPr>
      <w:sz w:val="20"/>
      <w:szCs w:val="20"/>
    </w:rPr>
  </w:style>
  <w:style w:type="character" w:customStyle="1" w:styleId="CommentTextChar">
    <w:name w:val="Comment Text Char"/>
    <w:basedOn w:val="DefaultParagraphFont"/>
    <w:link w:val="CommentText"/>
    <w:uiPriority w:val="99"/>
    <w:semiHidden/>
    <w:rsid w:val="0065566C"/>
    <w:rPr>
      <w:sz w:val="20"/>
      <w:szCs w:val="20"/>
    </w:rPr>
  </w:style>
  <w:style w:type="paragraph" w:styleId="CommentSubject">
    <w:name w:val="annotation subject"/>
    <w:basedOn w:val="CommentText"/>
    <w:next w:val="CommentText"/>
    <w:link w:val="CommentSubjectChar"/>
    <w:uiPriority w:val="99"/>
    <w:semiHidden/>
    <w:unhideWhenUsed/>
    <w:rsid w:val="0065566C"/>
    <w:rPr>
      <w:b/>
      <w:bCs/>
    </w:rPr>
  </w:style>
  <w:style w:type="character" w:customStyle="1" w:styleId="CommentSubjectChar">
    <w:name w:val="Comment Subject Char"/>
    <w:basedOn w:val="CommentTextChar"/>
    <w:link w:val="CommentSubject"/>
    <w:uiPriority w:val="99"/>
    <w:semiHidden/>
    <w:rsid w:val="0065566C"/>
    <w:rPr>
      <w:b/>
      <w:bCs/>
      <w:sz w:val="20"/>
      <w:szCs w:val="20"/>
    </w:rPr>
  </w:style>
  <w:style w:type="character" w:styleId="Hyperlink">
    <w:name w:val="Hyperlink"/>
    <w:basedOn w:val="DefaultParagraphFont"/>
    <w:uiPriority w:val="99"/>
    <w:unhideWhenUsed/>
    <w:rsid w:val="006556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61498523_Selective_GSK3b_Inhibition_Mediates_an_Nrf2-Independent_Anti-inflammatory_Microglial_Response" TargetMode="External"/><Relationship Id="rId1" Type="http://schemas.openxmlformats.org/officeDocument/2006/relationships/hyperlink" Target="https://pubmed.ncbi.nlm.nih.gov/35739410/"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2022-09-05T08:26:00Z</dcterms:created>
  <dcterms:modified xsi:type="dcterms:W3CDTF">2022-09-05T09:08:00Z</dcterms:modified>
</cp:coreProperties>
</file>