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761" w:rsidRPr="00740C6C" w:rsidRDefault="000F3761" w:rsidP="00740C6C">
      <w:pPr>
        <w:rPr>
          <w:rFonts w:ascii="Times New Roman" w:hAnsi="Times New Roman" w:cs="Times New Roman"/>
          <w:b/>
          <w:sz w:val="32"/>
          <w:szCs w:val="24"/>
        </w:rPr>
      </w:pPr>
      <w:r w:rsidRPr="00740C6C">
        <w:rPr>
          <w:rFonts w:ascii="Times New Roman" w:hAnsi="Times New Roman" w:cs="Times New Roman"/>
          <w:b/>
          <w:sz w:val="32"/>
          <w:szCs w:val="24"/>
        </w:rPr>
        <w:t>Crystal-array-assisted growth of a perovskite absorption layer for efficient and stable solar cells</w:t>
      </w:r>
    </w:p>
    <w:p w:rsidR="000F3761" w:rsidRPr="00740C6C" w:rsidRDefault="00740C6C" w:rsidP="00740C6C">
      <w:pPr>
        <w:rPr>
          <w:rFonts w:ascii="Times New Roman" w:hAnsi="Times New Roman" w:cs="Times New Roman"/>
          <w:sz w:val="24"/>
          <w:szCs w:val="24"/>
        </w:rPr>
      </w:pPr>
      <w:proofErr w:type="spellStart"/>
      <w:r>
        <w:rPr>
          <w:rFonts w:ascii="Times New Roman" w:hAnsi="Times New Roman" w:cs="Times New Roman"/>
          <w:sz w:val="24"/>
          <w:szCs w:val="24"/>
        </w:rPr>
        <w:t>Zhichao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Shen</w:t>
      </w:r>
      <w:proofErr w:type="spellEnd"/>
      <w:r w:rsidR="000F3761" w:rsidRPr="00740C6C">
        <w:rPr>
          <w:rFonts w:ascii="Times New Roman" w:hAnsi="Times New Roman" w:cs="Times New Roman"/>
          <w:sz w:val="24"/>
          <w:szCs w:val="24"/>
        </w:rPr>
        <w:t xml:space="preserve"> </w:t>
      </w:r>
    </w:p>
    <w:p w:rsidR="000F3761" w:rsidRPr="00740C6C" w:rsidRDefault="000F3761" w:rsidP="00740C6C">
      <w:pPr>
        <w:rPr>
          <w:rFonts w:ascii="Times New Roman" w:hAnsi="Times New Roman" w:cs="Times New Roman"/>
          <w:szCs w:val="24"/>
        </w:rPr>
      </w:pPr>
      <w:r w:rsidRPr="00740C6C">
        <w:rPr>
          <w:rFonts w:ascii="Times New Roman" w:hAnsi="Times New Roman" w:cs="Times New Roman"/>
          <w:szCs w:val="24"/>
        </w:rPr>
        <w:t>Shanghai Jiao Tong University, China</w:t>
      </w:r>
    </w:p>
    <w:p w:rsidR="000F3761" w:rsidRPr="00740C6C" w:rsidRDefault="000F3761" w:rsidP="00740C6C">
      <w:pPr>
        <w:jc w:val="center"/>
        <w:rPr>
          <w:rFonts w:ascii="Times New Roman" w:hAnsi="Times New Roman" w:cs="Times New Roman"/>
          <w:b/>
          <w:sz w:val="24"/>
          <w:szCs w:val="24"/>
        </w:rPr>
      </w:pPr>
      <w:r w:rsidRPr="00740C6C">
        <w:rPr>
          <w:rFonts w:ascii="Times New Roman" w:hAnsi="Times New Roman" w:cs="Times New Roman"/>
          <w:b/>
          <w:sz w:val="24"/>
          <w:szCs w:val="24"/>
        </w:rPr>
        <w:t>Abstract</w:t>
      </w:r>
    </w:p>
    <w:p w:rsidR="000F3761" w:rsidRDefault="000F3761" w:rsidP="00740C6C">
      <w:pPr>
        <w:jc w:val="both"/>
        <w:rPr>
          <w:rFonts w:ascii="Times New Roman" w:hAnsi="Times New Roman" w:cs="Times New Roman"/>
          <w:sz w:val="20"/>
          <w:szCs w:val="24"/>
        </w:rPr>
      </w:pPr>
      <w:r w:rsidRPr="00740C6C">
        <w:rPr>
          <w:rFonts w:ascii="Times New Roman" w:hAnsi="Times New Roman" w:cs="Times New Roman"/>
          <w:sz w:val="20"/>
          <w:szCs w:val="24"/>
        </w:rPr>
        <w:t xml:space="preserve">The photovoltaic performance and stability of </w:t>
      </w:r>
      <w:proofErr w:type="spellStart"/>
      <w:r w:rsidR="00740C6C" w:rsidRPr="00740C6C">
        <w:rPr>
          <w:rFonts w:ascii="Times New Roman" w:hAnsi="Times New Roman" w:cs="Times New Roman"/>
          <w:sz w:val="20"/>
          <w:szCs w:val="24"/>
        </w:rPr>
        <w:t>Perovskite</w:t>
      </w:r>
      <w:proofErr w:type="spellEnd"/>
      <w:r w:rsidR="00740C6C" w:rsidRPr="00740C6C">
        <w:rPr>
          <w:rFonts w:ascii="Times New Roman" w:hAnsi="Times New Roman" w:cs="Times New Roman"/>
          <w:sz w:val="20"/>
          <w:szCs w:val="24"/>
        </w:rPr>
        <w:t xml:space="preserve"> Solar Cells </w:t>
      </w:r>
      <w:r w:rsidRPr="00740C6C">
        <w:rPr>
          <w:rFonts w:ascii="Times New Roman" w:hAnsi="Times New Roman" w:cs="Times New Roman"/>
          <w:sz w:val="20"/>
          <w:szCs w:val="24"/>
        </w:rPr>
        <w:t xml:space="preserve">(PSCs) are closely related to the quality of the absorption layer. Further improving the crystallinity of perovskite films is of great significance for the commercial application of PSCs. Here, we introduce a </w:t>
      </w:r>
      <w:proofErr w:type="spellStart"/>
      <w:r w:rsidR="00740C6C" w:rsidRPr="00740C6C">
        <w:rPr>
          <w:rFonts w:ascii="Times New Roman" w:hAnsi="Times New Roman" w:cs="Times New Roman"/>
          <w:sz w:val="20"/>
          <w:szCs w:val="24"/>
        </w:rPr>
        <w:t>Perovskite</w:t>
      </w:r>
      <w:proofErr w:type="spellEnd"/>
      <w:r w:rsidR="00740C6C" w:rsidRPr="00740C6C">
        <w:rPr>
          <w:rFonts w:ascii="Times New Roman" w:hAnsi="Times New Roman" w:cs="Times New Roman"/>
          <w:sz w:val="20"/>
          <w:szCs w:val="24"/>
        </w:rPr>
        <w:t xml:space="preserve"> Crystal Array </w:t>
      </w:r>
      <w:r w:rsidRPr="00740C6C">
        <w:rPr>
          <w:rFonts w:ascii="Times New Roman" w:hAnsi="Times New Roman" w:cs="Times New Roman"/>
          <w:sz w:val="20"/>
          <w:szCs w:val="24"/>
        </w:rPr>
        <w:t>(PCA) with regular distribution to assist the growth of the perovskite absorption layer. The PCA provides nuclei where the crystallization can commence without overcoming the critical Gibbs free energy for nucleation and induces a controllable bottom-up crystallization process under solvent annealing. As a result, a perovskite film with high crystallinity and reduced grain boundaries was obtained. The largest grain size was over 4 microns and the average grain size was over 3 microns. PSCs based on the perovskite film with the PCA achieved power conversion efficiencies of 25.1% (certified 24.3%) and 23.1% (certified 22.3%) with aperture areas of 0.0784 cm</w:t>
      </w:r>
      <w:r w:rsidRPr="00740C6C">
        <w:rPr>
          <w:rFonts w:ascii="Times New Roman" w:hAnsi="Times New Roman" w:cs="Times New Roman"/>
          <w:sz w:val="20"/>
          <w:szCs w:val="24"/>
          <w:vertAlign w:val="superscript"/>
        </w:rPr>
        <w:t>2</w:t>
      </w:r>
      <w:r w:rsidRPr="00740C6C">
        <w:rPr>
          <w:rFonts w:ascii="Times New Roman" w:hAnsi="Times New Roman" w:cs="Times New Roman"/>
          <w:sz w:val="20"/>
          <w:szCs w:val="24"/>
        </w:rPr>
        <w:t xml:space="preserve"> and 1.0085 cm</w:t>
      </w:r>
      <w:r w:rsidRPr="00740C6C">
        <w:rPr>
          <w:rFonts w:ascii="Times New Roman" w:hAnsi="Times New Roman" w:cs="Times New Roman"/>
          <w:sz w:val="20"/>
          <w:szCs w:val="24"/>
          <w:vertAlign w:val="superscript"/>
        </w:rPr>
        <w:t>2</w:t>
      </w:r>
      <w:r w:rsidRPr="00740C6C">
        <w:rPr>
          <w:rFonts w:ascii="Times New Roman" w:hAnsi="Times New Roman" w:cs="Times New Roman"/>
          <w:sz w:val="20"/>
          <w:szCs w:val="24"/>
        </w:rPr>
        <w:t>, respectively. The devices maintained 90% of their initial efficiency after operation at the maximum power point for 2000 hours</w:t>
      </w:r>
      <w:r w:rsidR="00740C6C">
        <w:rPr>
          <w:rFonts w:ascii="Times New Roman" w:hAnsi="Times New Roman" w:cs="Times New Roman"/>
          <w:sz w:val="20"/>
          <w:szCs w:val="24"/>
        </w:rPr>
        <w:t xml:space="preserve"> [Figure 1]</w:t>
      </w:r>
      <w:r w:rsidRPr="00740C6C">
        <w:rPr>
          <w:rFonts w:ascii="Times New Roman" w:hAnsi="Times New Roman" w:cs="Times New Roman"/>
          <w:sz w:val="20"/>
          <w:szCs w:val="24"/>
        </w:rPr>
        <w:t xml:space="preserve">. </w:t>
      </w:r>
    </w:p>
    <w:p w:rsidR="00740C6C" w:rsidRDefault="00740C6C" w:rsidP="00740C6C">
      <w:pPr>
        <w:jc w:val="center"/>
        <w:rPr>
          <w:rFonts w:ascii="Times New Roman" w:hAnsi="Times New Roman" w:cs="Times New Roman"/>
          <w:sz w:val="20"/>
          <w:szCs w:val="24"/>
        </w:rPr>
      </w:pPr>
      <w:r>
        <w:rPr>
          <w:rFonts w:ascii="Times New Roman" w:hAnsi="Times New Roman" w:cs="Times New Roman"/>
          <w:noProof/>
          <w:sz w:val="20"/>
          <w:szCs w:val="24"/>
        </w:rPr>
        <w:drawing>
          <wp:inline distT="0" distB="0" distL="0" distR="0" wp14:anchorId="1E8F7027">
            <wp:extent cx="3164205" cy="2292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64205" cy="2292350"/>
                    </a:xfrm>
                    <a:prstGeom prst="rect">
                      <a:avLst/>
                    </a:prstGeom>
                    <a:noFill/>
                  </pic:spPr>
                </pic:pic>
              </a:graphicData>
            </a:graphic>
          </wp:inline>
        </w:drawing>
      </w:r>
    </w:p>
    <w:p w:rsidR="00740C6C" w:rsidRPr="00740C6C" w:rsidRDefault="00740C6C" w:rsidP="00740C6C">
      <w:pPr>
        <w:jc w:val="center"/>
        <w:rPr>
          <w:rFonts w:ascii="Times New Roman" w:hAnsi="Times New Roman" w:cs="Times New Roman"/>
          <w:i/>
          <w:sz w:val="18"/>
          <w:szCs w:val="24"/>
        </w:rPr>
      </w:pPr>
      <w:proofErr w:type="gramStart"/>
      <w:r w:rsidRPr="00740C6C">
        <w:rPr>
          <w:rFonts w:ascii="Times New Roman" w:hAnsi="Times New Roman" w:cs="Times New Roman"/>
          <w:b/>
          <w:i/>
          <w:sz w:val="18"/>
          <w:szCs w:val="24"/>
        </w:rPr>
        <w:t>Figure 1.</w:t>
      </w:r>
      <w:proofErr w:type="gramEnd"/>
      <w:r w:rsidRPr="00740C6C">
        <w:rPr>
          <w:rFonts w:ascii="Times New Roman" w:hAnsi="Times New Roman" w:cs="Times New Roman"/>
          <w:i/>
          <w:sz w:val="18"/>
          <w:szCs w:val="24"/>
        </w:rPr>
        <w:t xml:space="preserve"> </w:t>
      </w:r>
      <w:proofErr w:type="gramStart"/>
      <w:r w:rsidRPr="00740C6C">
        <w:rPr>
          <w:rFonts w:ascii="Times New Roman" w:hAnsi="Times New Roman" w:cs="Times New Roman"/>
          <w:i/>
          <w:sz w:val="18"/>
          <w:szCs w:val="24"/>
        </w:rPr>
        <w:t xml:space="preserve">Schematic of the fabrication procedure of the </w:t>
      </w:r>
      <w:proofErr w:type="spellStart"/>
      <w:r w:rsidRPr="00740C6C">
        <w:rPr>
          <w:rFonts w:ascii="Times New Roman" w:hAnsi="Times New Roman" w:cs="Times New Roman"/>
          <w:i/>
          <w:sz w:val="18"/>
          <w:szCs w:val="24"/>
        </w:rPr>
        <w:t>perovskite</w:t>
      </w:r>
      <w:proofErr w:type="spellEnd"/>
      <w:r w:rsidRPr="00740C6C">
        <w:rPr>
          <w:rFonts w:ascii="Times New Roman" w:hAnsi="Times New Roman" w:cs="Times New Roman"/>
          <w:i/>
          <w:sz w:val="18"/>
          <w:szCs w:val="24"/>
        </w:rPr>
        <w:t xml:space="preserve"> crystal array, thermal evaporation and PCA-assisted growth.</w:t>
      </w:r>
      <w:proofErr w:type="gramEnd"/>
    </w:p>
    <w:p w:rsidR="000F3761" w:rsidRPr="00740C6C" w:rsidRDefault="00740C6C" w:rsidP="00740C6C">
      <w:pPr>
        <w:rPr>
          <w:rFonts w:ascii="Times New Roman" w:hAnsi="Times New Roman" w:cs="Times New Roman"/>
          <w:b/>
          <w:sz w:val="24"/>
          <w:szCs w:val="24"/>
        </w:rPr>
      </w:pPr>
      <w:r w:rsidRPr="00740C6C">
        <w:rPr>
          <w:rFonts w:ascii="Times New Roman" w:hAnsi="Times New Roman" w:cs="Times New Roman"/>
          <w:b/>
          <w:sz w:val="24"/>
          <w:szCs w:val="24"/>
        </w:rPr>
        <w:t>Biography</w:t>
      </w:r>
    </w:p>
    <w:p w:rsidR="00FE2CBF" w:rsidRPr="00740C6C" w:rsidRDefault="000F3761" w:rsidP="00740C6C">
      <w:pPr>
        <w:jc w:val="both"/>
        <w:rPr>
          <w:rFonts w:ascii="Times New Roman" w:hAnsi="Times New Roman" w:cs="Times New Roman"/>
          <w:sz w:val="24"/>
          <w:szCs w:val="24"/>
        </w:rPr>
      </w:pPr>
      <w:r w:rsidRPr="00740C6C">
        <w:rPr>
          <w:rFonts w:ascii="Times New Roman" w:hAnsi="Times New Roman" w:cs="Times New Roman"/>
          <w:sz w:val="20"/>
          <w:szCs w:val="24"/>
        </w:rPr>
        <w:t xml:space="preserve">Zhichao Shen obtained his bachelor’s degree in materials science and engineering at Hunan University (China) in 2018 and then continued </w:t>
      </w:r>
      <w:bookmarkStart w:id="0" w:name="_GoBack"/>
      <w:bookmarkEnd w:id="0"/>
      <w:r w:rsidRPr="00740C6C">
        <w:rPr>
          <w:rFonts w:ascii="Times New Roman" w:hAnsi="Times New Roman" w:cs="Times New Roman"/>
          <w:sz w:val="20"/>
          <w:szCs w:val="24"/>
        </w:rPr>
        <w:t>his study at Shanghai Jiao Tong University for a doctorate degree. His current research is focused on fabricating highly efficient and stable perovskite solar cells through compositional engin</w:t>
      </w:r>
      <w:r w:rsidR="003A24DF">
        <w:rPr>
          <w:rFonts w:ascii="Times New Roman" w:hAnsi="Times New Roman" w:cs="Times New Roman"/>
          <w:sz w:val="20"/>
          <w:szCs w:val="24"/>
        </w:rPr>
        <w:t xml:space="preserve">eering, interface modification </w:t>
      </w:r>
      <w:r w:rsidRPr="00740C6C">
        <w:rPr>
          <w:rFonts w:ascii="Times New Roman" w:hAnsi="Times New Roman" w:cs="Times New Roman"/>
          <w:sz w:val="20"/>
          <w:szCs w:val="24"/>
        </w:rPr>
        <w:t>and structure innovation.</w:t>
      </w:r>
    </w:p>
    <w:sectPr w:rsidR="00FE2CBF" w:rsidRPr="00740C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761"/>
    <w:rsid w:val="000F3761"/>
    <w:rsid w:val="002C72DD"/>
    <w:rsid w:val="003A24DF"/>
    <w:rsid w:val="00600264"/>
    <w:rsid w:val="006E7D02"/>
    <w:rsid w:val="00740C6C"/>
    <w:rsid w:val="00FE2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0F3761"/>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F3761"/>
    <w:rPr>
      <w:rFonts w:ascii="Arial" w:eastAsia="Arial" w:hAnsi="Arial" w:cs="Arial"/>
      <w:b/>
      <w:bCs/>
      <w:sz w:val="20"/>
      <w:szCs w:val="20"/>
    </w:rPr>
  </w:style>
  <w:style w:type="paragraph" w:styleId="BodyText">
    <w:name w:val="Body Text"/>
    <w:basedOn w:val="Normal"/>
    <w:link w:val="BodyTextChar"/>
    <w:uiPriority w:val="1"/>
    <w:qFormat/>
    <w:rsid w:val="000F3761"/>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F3761"/>
    <w:rPr>
      <w:rFonts w:ascii="Tw Cen MT" w:eastAsia="Tw Cen MT" w:hAnsi="Tw Cen MT" w:cs="Tw Cen MT"/>
      <w:sz w:val="18"/>
      <w:szCs w:val="18"/>
    </w:rPr>
  </w:style>
  <w:style w:type="paragraph" w:styleId="ListParagraph">
    <w:name w:val="List Paragraph"/>
    <w:basedOn w:val="Normal"/>
    <w:uiPriority w:val="1"/>
    <w:qFormat/>
    <w:rsid w:val="000F3761"/>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0F3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76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0F3761"/>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0F3761"/>
    <w:rPr>
      <w:rFonts w:ascii="Arial" w:eastAsia="Arial" w:hAnsi="Arial" w:cs="Arial"/>
      <w:b/>
      <w:bCs/>
      <w:sz w:val="20"/>
      <w:szCs w:val="20"/>
    </w:rPr>
  </w:style>
  <w:style w:type="paragraph" w:styleId="BodyText">
    <w:name w:val="Body Text"/>
    <w:basedOn w:val="Normal"/>
    <w:link w:val="BodyTextChar"/>
    <w:uiPriority w:val="1"/>
    <w:qFormat/>
    <w:rsid w:val="000F3761"/>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0F3761"/>
    <w:rPr>
      <w:rFonts w:ascii="Tw Cen MT" w:eastAsia="Tw Cen MT" w:hAnsi="Tw Cen MT" w:cs="Tw Cen MT"/>
      <w:sz w:val="18"/>
      <w:szCs w:val="18"/>
    </w:rPr>
  </w:style>
  <w:style w:type="paragraph" w:styleId="ListParagraph">
    <w:name w:val="List Paragraph"/>
    <w:basedOn w:val="Normal"/>
    <w:uiPriority w:val="1"/>
    <w:qFormat/>
    <w:rsid w:val="000F3761"/>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0F3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F376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269</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Niharika Mandal</dc:creator>
  <cp:lastModifiedBy>Swetha Sandala</cp:lastModifiedBy>
  <cp:revision>4</cp:revision>
  <dcterms:created xsi:type="dcterms:W3CDTF">2022-11-23T05:14:00Z</dcterms:created>
  <dcterms:modified xsi:type="dcterms:W3CDTF">2022-11-23T12:15:00Z</dcterms:modified>
</cp:coreProperties>
</file>