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B7C59">
      <w:pPr>
        <w:rPr>
          <w:rFonts w:ascii="Times New Roman" w:hAnsi="Times New Roman" w:cs="Times New Roman"/>
          <w:b/>
          <w:sz w:val="32"/>
        </w:rPr>
      </w:pPr>
      <w:proofErr w:type="spellStart"/>
      <w:r w:rsidRPr="006B7C59">
        <w:rPr>
          <w:rFonts w:ascii="Times New Roman" w:hAnsi="Times New Roman" w:cs="Times New Roman"/>
          <w:b/>
          <w:sz w:val="32"/>
        </w:rPr>
        <w:t>Transcranial</w:t>
      </w:r>
      <w:proofErr w:type="spellEnd"/>
      <w:r w:rsidRPr="006B7C59">
        <w:rPr>
          <w:rFonts w:ascii="Times New Roman" w:hAnsi="Times New Roman" w:cs="Times New Roman"/>
          <w:b/>
          <w:sz w:val="32"/>
        </w:rPr>
        <w:t xml:space="preserve"> color coded </w:t>
      </w:r>
      <w:proofErr w:type="spellStart"/>
      <w:r w:rsidRPr="006B7C59">
        <w:rPr>
          <w:rFonts w:ascii="Times New Roman" w:hAnsi="Times New Roman" w:cs="Times New Roman"/>
          <w:b/>
          <w:sz w:val="32"/>
        </w:rPr>
        <w:t>sonography</w:t>
      </w:r>
      <w:proofErr w:type="spellEnd"/>
      <w:r w:rsidRPr="006B7C59">
        <w:rPr>
          <w:rFonts w:ascii="Times New Roman" w:hAnsi="Times New Roman" w:cs="Times New Roman"/>
          <w:b/>
          <w:sz w:val="32"/>
        </w:rPr>
        <w:t xml:space="preserve"> of Optic Nerve Sheath Diameter (ONSD) in acute phase of </w:t>
      </w:r>
      <w:proofErr w:type="spellStart"/>
      <w:r w:rsidRPr="006B7C59">
        <w:rPr>
          <w:rFonts w:ascii="Times New Roman" w:hAnsi="Times New Roman" w:cs="Times New Roman"/>
          <w:b/>
          <w:sz w:val="32"/>
        </w:rPr>
        <w:t>intracerebral</w:t>
      </w:r>
      <w:proofErr w:type="spellEnd"/>
      <w:r w:rsidRPr="006B7C59">
        <w:rPr>
          <w:rFonts w:ascii="Times New Roman" w:hAnsi="Times New Roman" w:cs="Times New Roman"/>
          <w:b/>
          <w:sz w:val="32"/>
        </w:rPr>
        <w:t xml:space="preserve"> hemorrhage</w:t>
      </w:r>
    </w:p>
    <w:p w:rsidR="006B7C59" w:rsidRDefault="006B7C59">
      <w:pPr>
        <w:rPr>
          <w:rFonts w:ascii="Times New Roman" w:hAnsi="Times New Roman" w:cs="Times New Roman"/>
          <w:sz w:val="24"/>
        </w:rPr>
      </w:pPr>
      <w:r w:rsidRPr="006B7C59">
        <w:rPr>
          <w:rFonts w:ascii="Times New Roman" w:hAnsi="Times New Roman" w:cs="Times New Roman"/>
          <w:sz w:val="24"/>
        </w:rPr>
        <w:t xml:space="preserve">Mehdi </w:t>
      </w:r>
      <w:proofErr w:type="spellStart"/>
      <w:r w:rsidRPr="006B7C59">
        <w:rPr>
          <w:rFonts w:ascii="Times New Roman" w:hAnsi="Times New Roman" w:cs="Times New Roman"/>
          <w:sz w:val="24"/>
        </w:rPr>
        <w:t>Maghbooli</w:t>
      </w:r>
      <w:proofErr w:type="spellEnd"/>
      <w:r w:rsidR="00EE4EF9">
        <w:rPr>
          <w:rFonts w:ascii="Times New Roman" w:hAnsi="Times New Roman" w:cs="Times New Roman"/>
          <w:sz w:val="24"/>
        </w:rPr>
        <w:t>*</w:t>
      </w:r>
      <w:bookmarkStart w:id="0" w:name="_GoBack"/>
      <w:bookmarkEnd w:id="0"/>
      <w:r w:rsidRPr="006B7C59">
        <w:rPr>
          <w:rFonts w:ascii="Times New Roman" w:hAnsi="Times New Roman" w:cs="Times New Roman"/>
          <w:sz w:val="24"/>
        </w:rPr>
        <w:t xml:space="preserve"> and </w:t>
      </w:r>
      <w:proofErr w:type="spellStart"/>
      <w:r w:rsidRPr="006B7C59">
        <w:rPr>
          <w:rFonts w:ascii="Times New Roman" w:hAnsi="Times New Roman" w:cs="Times New Roman"/>
          <w:sz w:val="24"/>
        </w:rPr>
        <w:t>Elaheh</w:t>
      </w:r>
      <w:proofErr w:type="spellEnd"/>
      <w:r w:rsidRPr="006B7C59">
        <w:rPr>
          <w:rFonts w:ascii="Times New Roman" w:hAnsi="Times New Roman" w:cs="Times New Roman"/>
          <w:sz w:val="24"/>
        </w:rPr>
        <w:t xml:space="preserve"> </w:t>
      </w:r>
      <w:proofErr w:type="spellStart"/>
      <w:r w:rsidRPr="006B7C59">
        <w:rPr>
          <w:rFonts w:ascii="Times New Roman" w:hAnsi="Times New Roman" w:cs="Times New Roman"/>
          <w:sz w:val="24"/>
        </w:rPr>
        <w:t>Yari</w:t>
      </w:r>
      <w:proofErr w:type="spellEnd"/>
    </w:p>
    <w:p w:rsidR="006B7C59" w:rsidRPr="006B7C59" w:rsidRDefault="006B7C59">
      <w:pPr>
        <w:rPr>
          <w:rFonts w:ascii="Times New Roman" w:hAnsi="Times New Roman" w:cs="Times New Roman"/>
        </w:rPr>
      </w:pPr>
      <w:proofErr w:type="spellStart"/>
      <w:r w:rsidRPr="006B7C59">
        <w:rPr>
          <w:rFonts w:ascii="Times New Roman" w:hAnsi="Times New Roman" w:cs="Times New Roman"/>
        </w:rPr>
        <w:t>Zanjan</w:t>
      </w:r>
      <w:proofErr w:type="spellEnd"/>
      <w:r w:rsidRPr="006B7C59">
        <w:rPr>
          <w:rFonts w:ascii="Times New Roman" w:hAnsi="Times New Roman" w:cs="Times New Roman"/>
        </w:rPr>
        <w:t xml:space="preserve"> University of Medical Sciences, Iran</w:t>
      </w:r>
    </w:p>
    <w:p w:rsidR="006B7C59" w:rsidRPr="006B7C59" w:rsidRDefault="006B7C59" w:rsidP="006B7C59">
      <w:pPr>
        <w:jc w:val="center"/>
        <w:rPr>
          <w:rFonts w:ascii="Times New Roman" w:hAnsi="Times New Roman" w:cs="Times New Roman"/>
          <w:b/>
          <w:sz w:val="24"/>
        </w:rPr>
      </w:pPr>
      <w:r w:rsidRPr="006B7C59">
        <w:rPr>
          <w:rFonts w:ascii="Times New Roman" w:hAnsi="Times New Roman" w:cs="Times New Roman"/>
          <w:b/>
          <w:sz w:val="24"/>
        </w:rPr>
        <w:t>Abstract</w:t>
      </w:r>
    </w:p>
    <w:p w:rsidR="006B7C59" w:rsidRPr="006B7C59" w:rsidRDefault="006B7C59" w:rsidP="006B7C59">
      <w:pPr>
        <w:jc w:val="both"/>
        <w:rPr>
          <w:rFonts w:ascii="Times New Roman" w:hAnsi="Times New Roman" w:cs="Times New Roman"/>
          <w:sz w:val="20"/>
        </w:rPr>
      </w:pPr>
      <w:r w:rsidRPr="006B7C59">
        <w:rPr>
          <w:rFonts w:ascii="Times New Roman" w:hAnsi="Times New Roman" w:cs="Times New Roman"/>
          <w:b/>
          <w:sz w:val="20"/>
        </w:rPr>
        <w:t>Introduction:</w:t>
      </w:r>
      <w:r w:rsidRPr="006B7C59">
        <w:rPr>
          <w:rFonts w:ascii="Times New Roman" w:hAnsi="Times New Roman" w:cs="Times New Roman"/>
          <w:sz w:val="20"/>
        </w:rPr>
        <w:t xml:space="preserve"> In </w:t>
      </w:r>
      <w:r w:rsidRPr="006B7C59">
        <w:rPr>
          <w:rFonts w:ascii="Times New Roman" w:hAnsi="Times New Roman" w:cs="Times New Roman"/>
          <w:sz w:val="20"/>
        </w:rPr>
        <w:t>Intra</w:t>
      </w:r>
      <w:r>
        <w:rPr>
          <w:rFonts w:ascii="Times New Roman" w:hAnsi="Times New Roman" w:cs="Times New Roman"/>
          <w:sz w:val="20"/>
        </w:rPr>
        <w:t>-</w:t>
      </w:r>
      <w:r w:rsidRPr="006B7C59">
        <w:rPr>
          <w:rFonts w:ascii="Times New Roman" w:hAnsi="Times New Roman" w:cs="Times New Roman"/>
          <w:sz w:val="20"/>
        </w:rPr>
        <w:t xml:space="preserve">Cranial Hemorrhages </w:t>
      </w:r>
      <w:r w:rsidRPr="006B7C59">
        <w:rPr>
          <w:rFonts w:ascii="Times New Roman" w:hAnsi="Times New Roman" w:cs="Times New Roman"/>
          <w:sz w:val="20"/>
        </w:rPr>
        <w:t xml:space="preserve">(ICH), </w:t>
      </w:r>
      <w:r w:rsidRPr="006B7C59">
        <w:rPr>
          <w:rFonts w:ascii="Times New Roman" w:hAnsi="Times New Roman" w:cs="Times New Roman"/>
          <w:sz w:val="20"/>
        </w:rPr>
        <w:t>Intra</w:t>
      </w:r>
      <w:r>
        <w:rPr>
          <w:rFonts w:ascii="Times New Roman" w:hAnsi="Times New Roman" w:cs="Times New Roman"/>
          <w:sz w:val="20"/>
        </w:rPr>
        <w:t>-</w:t>
      </w:r>
      <w:r w:rsidRPr="006B7C59">
        <w:rPr>
          <w:rFonts w:ascii="Times New Roman" w:hAnsi="Times New Roman" w:cs="Times New Roman"/>
          <w:sz w:val="20"/>
        </w:rPr>
        <w:t xml:space="preserve">Cranial Pressure </w:t>
      </w:r>
      <w:r w:rsidRPr="006B7C59">
        <w:rPr>
          <w:rFonts w:ascii="Times New Roman" w:hAnsi="Times New Roman" w:cs="Times New Roman"/>
          <w:sz w:val="20"/>
        </w:rPr>
        <w:t xml:space="preserve">(ICP) monitoring is necessary to evaluate the response to treatment and also to evaluate the prognosis. Although </w:t>
      </w:r>
      <w:r w:rsidRPr="006B7C59">
        <w:rPr>
          <w:rFonts w:ascii="Times New Roman" w:hAnsi="Times New Roman" w:cs="Times New Roman"/>
          <w:sz w:val="20"/>
        </w:rPr>
        <w:t>direct</w:t>
      </w:r>
      <w:r w:rsidRPr="006B7C59">
        <w:rPr>
          <w:rFonts w:ascii="Times New Roman" w:hAnsi="Times New Roman" w:cs="Times New Roman"/>
          <w:sz w:val="20"/>
        </w:rPr>
        <w:t xml:space="preserve"> estimation of ICP is reliable, </w:t>
      </w:r>
      <w:proofErr w:type="spellStart"/>
      <w:r w:rsidRPr="006B7C59">
        <w:rPr>
          <w:rFonts w:ascii="Times New Roman" w:hAnsi="Times New Roman" w:cs="Times New Roman"/>
          <w:sz w:val="20"/>
        </w:rPr>
        <w:t>Transcranial</w:t>
      </w:r>
      <w:proofErr w:type="spellEnd"/>
      <w:r w:rsidRPr="006B7C59">
        <w:rPr>
          <w:rFonts w:ascii="Times New Roman" w:hAnsi="Times New Roman" w:cs="Times New Roman"/>
          <w:sz w:val="20"/>
        </w:rPr>
        <w:t xml:space="preserve"> Color-Coded </w:t>
      </w:r>
      <w:proofErr w:type="spellStart"/>
      <w:r w:rsidRPr="006B7C59">
        <w:rPr>
          <w:rFonts w:ascii="Times New Roman" w:hAnsi="Times New Roman" w:cs="Times New Roman"/>
          <w:sz w:val="20"/>
        </w:rPr>
        <w:t>Sonography</w:t>
      </w:r>
      <w:proofErr w:type="spellEnd"/>
      <w:r w:rsidRPr="006B7C59">
        <w:rPr>
          <w:rFonts w:ascii="Times New Roman" w:hAnsi="Times New Roman" w:cs="Times New Roman"/>
          <w:sz w:val="20"/>
        </w:rPr>
        <w:t xml:space="preserve"> (TCCS) is a non-invasive and bed side technique that provides reliable and real-time information. </w:t>
      </w:r>
    </w:p>
    <w:p w:rsidR="006B7C59" w:rsidRPr="006B7C59" w:rsidRDefault="006B7C59" w:rsidP="006B7C59">
      <w:pPr>
        <w:jc w:val="both"/>
        <w:rPr>
          <w:rFonts w:ascii="Times New Roman" w:hAnsi="Times New Roman" w:cs="Times New Roman"/>
          <w:sz w:val="20"/>
        </w:rPr>
      </w:pPr>
      <w:r w:rsidRPr="006B7C59">
        <w:rPr>
          <w:rFonts w:ascii="Times New Roman" w:hAnsi="Times New Roman" w:cs="Times New Roman"/>
          <w:b/>
          <w:sz w:val="20"/>
        </w:rPr>
        <w:t>Purpose:</w:t>
      </w:r>
      <w:r w:rsidRPr="006B7C59">
        <w:rPr>
          <w:rFonts w:ascii="Times New Roman" w:hAnsi="Times New Roman" w:cs="Times New Roman"/>
          <w:sz w:val="20"/>
        </w:rPr>
        <w:t xml:space="preserve"> The aim of this study was piloting the TCCS application in acute ICH care by estimating </w:t>
      </w:r>
      <w:r w:rsidRPr="006B7C59">
        <w:rPr>
          <w:rFonts w:ascii="Times New Roman" w:hAnsi="Times New Roman" w:cs="Times New Roman"/>
          <w:sz w:val="20"/>
        </w:rPr>
        <w:t>Optic Nerve Sheath Diameter</w:t>
      </w:r>
      <w:r w:rsidRPr="006B7C59">
        <w:rPr>
          <w:rFonts w:ascii="Times New Roman" w:hAnsi="Times New Roman" w:cs="Times New Roman"/>
          <w:sz w:val="20"/>
        </w:rPr>
        <w:t xml:space="preserve"> (ONSD) as an </w:t>
      </w:r>
      <w:proofErr w:type="spellStart"/>
      <w:r w:rsidRPr="006B7C59">
        <w:rPr>
          <w:rFonts w:ascii="Times New Roman" w:hAnsi="Times New Roman" w:cs="Times New Roman"/>
          <w:sz w:val="20"/>
        </w:rPr>
        <w:t>indice</w:t>
      </w:r>
      <w:proofErr w:type="spellEnd"/>
      <w:r w:rsidRPr="006B7C59">
        <w:rPr>
          <w:rFonts w:ascii="Times New Roman" w:hAnsi="Times New Roman" w:cs="Times New Roman"/>
          <w:sz w:val="20"/>
        </w:rPr>
        <w:t xml:space="preserve"> of ICP. This study aims to investigate the effect of ocular ultrasound (with ONSD evaluation) in the early diagnosis of raised ICP in patients with ICH.</w:t>
      </w:r>
    </w:p>
    <w:p w:rsidR="006B7C59" w:rsidRPr="006B7C59" w:rsidRDefault="006B7C59" w:rsidP="006B7C59">
      <w:pPr>
        <w:jc w:val="both"/>
        <w:rPr>
          <w:rFonts w:ascii="Times New Roman" w:hAnsi="Times New Roman" w:cs="Times New Roman"/>
          <w:sz w:val="20"/>
        </w:rPr>
      </w:pPr>
      <w:r w:rsidRPr="006B7C59">
        <w:rPr>
          <w:rFonts w:ascii="Times New Roman" w:hAnsi="Times New Roman" w:cs="Times New Roman"/>
          <w:b/>
          <w:sz w:val="20"/>
        </w:rPr>
        <w:t>Methods:</w:t>
      </w:r>
      <w:r w:rsidRPr="006B7C59">
        <w:rPr>
          <w:rFonts w:ascii="Times New Roman" w:hAnsi="Times New Roman" w:cs="Times New Roman"/>
          <w:sz w:val="20"/>
        </w:rPr>
        <w:t xml:space="preserve"> The present study is a hospital-based case-control study on ICH patients. ONSD was estimated using the OCULAR TCCS device at first and third day. Demographics, underlying diseases, blood pressure, Glasgow Coma Scale, bleeding volume, presence or absence of shift and prescription or nonprescription of osmotic therapy</w:t>
      </w:r>
      <w:r>
        <w:rPr>
          <w:rFonts w:ascii="Times New Roman" w:hAnsi="Times New Roman" w:cs="Times New Roman"/>
          <w:sz w:val="20"/>
        </w:rPr>
        <w:t xml:space="preserve"> and</w:t>
      </w:r>
      <w:r w:rsidRPr="006B7C59">
        <w:rPr>
          <w:rFonts w:ascii="Times New Roman" w:hAnsi="Times New Roman" w:cs="Times New Roman"/>
          <w:sz w:val="20"/>
        </w:rPr>
        <w:t xml:space="preserve"> sodium levels were recorded. </w:t>
      </w:r>
    </w:p>
    <w:p w:rsidR="006B7C59" w:rsidRPr="006B7C59" w:rsidRDefault="006B7C59" w:rsidP="006B7C59">
      <w:pPr>
        <w:jc w:val="both"/>
        <w:rPr>
          <w:rFonts w:ascii="Times New Roman" w:hAnsi="Times New Roman" w:cs="Times New Roman"/>
          <w:sz w:val="20"/>
        </w:rPr>
      </w:pPr>
      <w:r w:rsidRPr="006B7C59">
        <w:rPr>
          <w:rFonts w:ascii="Times New Roman" w:hAnsi="Times New Roman" w:cs="Times New Roman"/>
          <w:b/>
          <w:sz w:val="20"/>
        </w:rPr>
        <w:t>Results:</w:t>
      </w:r>
      <w:r w:rsidRPr="006B7C59">
        <w:rPr>
          <w:rFonts w:ascii="Times New Roman" w:hAnsi="Times New Roman" w:cs="Times New Roman"/>
          <w:sz w:val="20"/>
        </w:rPr>
        <w:t xml:space="preserve"> Thirty patients with cerebral hemorrhage were compared with age and sex matched controls. the averages of right side ONSD, left side ONSD and the average of ONSD of both eyes on the first day in the case group was significantly higher than the control group (p&lt;0.001). ONSD of higher than 4.15 mm was 96.7% sensitive and 73.3% specific for ICH diagnosis (P&lt;0.01). There was a direct and significant relationship between ONSD and NIHSS in the case group (p&lt;0.001).</w:t>
      </w:r>
    </w:p>
    <w:p w:rsidR="006B7C59" w:rsidRPr="006B7C59" w:rsidRDefault="006B7C59" w:rsidP="006B7C59">
      <w:pPr>
        <w:jc w:val="both"/>
        <w:rPr>
          <w:rFonts w:ascii="Times New Roman" w:hAnsi="Times New Roman" w:cs="Times New Roman"/>
          <w:sz w:val="20"/>
        </w:rPr>
      </w:pPr>
      <w:r w:rsidRPr="006B7C59">
        <w:rPr>
          <w:rFonts w:ascii="Times New Roman" w:hAnsi="Times New Roman" w:cs="Times New Roman"/>
          <w:b/>
          <w:sz w:val="20"/>
        </w:rPr>
        <w:t>Conclusion</w:t>
      </w:r>
      <w:r w:rsidRPr="006B7C59">
        <w:rPr>
          <w:rFonts w:ascii="Times New Roman" w:hAnsi="Times New Roman" w:cs="Times New Roman"/>
          <w:b/>
          <w:sz w:val="20"/>
        </w:rPr>
        <w:t>:</w:t>
      </w:r>
      <w:r w:rsidRPr="006B7C59">
        <w:rPr>
          <w:rFonts w:ascii="Times New Roman" w:hAnsi="Times New Roman" w:cs="Times New Roman"/>
          <w:sz w:val="20"/>
        </w:rPr>
        <w:t xml:space="preserve"> It is possible to use ONSD as an indirect method, especially in the follow-up of ICH patients, to evaluate ICP. Future studies are recommended to validate these results. </w:t>
      </w:r>
    </w:p>
    <w:p w:rsidR="006B7C59" w:rsidRDefault="006B7C59" w:rsidP="006B7C59">
      <w:pPr>
        <w:jc w:val="both"/>
        <w:rPr>
          <w:rFonts w:ascii="Times New Roman" w:hAnsi="Times New Roman" w:cs="Times New Roman"/>
          <w:sz w:val="20"/>
        </w:rPr>
      </w:pPr>
      <w:r w:rsidRPr="006B7C59">
        <w:rPr>
          <w:rFonts w:ascii="Times New Roman" w:hAnsi="Times New Roman" w:cs="Times New Roman"/>
          <w:b/>
          <w:sz w:val="20"/>
        </w:rPr>
        <w:t>Keywords:</w:t>
      </w:r>
      <w:r w:rsidRPr="006B7C59">
        <w:rPr>
          <w:rFonts w:ascii="Times New Roman" w:hAnsi="Times New Roman" w:cs="Times New Roman"/>
          <w:sz w:val="20"/>
        </w:rPr>
        <w:t xml:space="preserve"> </w:t>
      </w:r>
      <w:r w:rsidRPr="006B7C59">
        <w:rPr>
          <w:rFonts w:ascii="Times New Roman" w:hAnsi="Times New Roman" w:cs="Times New Roman"/>
          <w:sz w:val="20"/>
        </w:rPr>
        <w:t xml:space="preserve">Optic </w:t>
      </w:r>
      <w:r w:rsidRPr="006B7C59">
        <w:rPr>
          <w:rFonts w:ascii="Times New Roman" w:hAnsi="Times New Roman" w:cs="Times New Roman"/>
          <w:sz w:val="20"/>
        </w:rPr>
        <w:t>nerve sheath diameter</w:t>
      </w:r>
      <w:r>
        <w:rPr>
          <w:rFonts w:ascii="Times New Roman" w:hAnsi="Times New Roman" w:cs="Times New Roman"/>
          <w:sz w:val="20"/>
        </w:rPr>
        <w:t xml:space="preserve">, </w:t>
      </w:r>
      <w:r w:rsidRPr="006B7C59">
        <w:rPr>
          <w:rFonts w:ascii="Times New Roman" w:hAnsi="Times New Roman" w:cs="Times New Roman"/>
          <w:sz w:val="20"/>
        </w:rPr>
        <w:t xml:space="preserve">cerebral </w:t>
      </w:r>
      <w:r w:rsidRPr="006B7C59">
        <w:rPr>
          <w:rFonts w:ascii="Times New Roman" w:hAnsi="Times New Roman" w:cs="Times New Roman"/>
          <w:sz w:val="20"/>
        </w:rPr>
        <w:t>hemorrhage in acute phase</w:t>
      </w:r>
      <w:r>
        <w:rPr>
          <w:rFonts w:ascii="Times New Roman" w:hAnsi="Times New Roman" w:cs="Times New Roman"/>
          <w:sz w:val="20"/>
        </w:rPr>
        <w:t>.</w:t>
      </w:r>
    </w:p>
    <w:p w:rsidR="006B7C59" w:rsidRPr="006B7C59" w:rsidRDefault="006B7C59" w:rsidP="006B7C59">
      <w:pPr>
        <w:rPr>
          <w:rFonts w:ascii="Times New Roman" w:hAnsi="Times New Roman" w:cs="Times New Roman"/>
          <w:b/>
          <w:sz w:val="24"/>
        </w:rPr>
      </w:pPr>
      <w:r w:rsidRPr="006B7C59">
        <w:rPr>
          <w:rFonts w:ascii="Times New Roman" w:hAnsi="Times New Roman" w:cs="Times New Roman"/>
          <w:b/>
          <w:sz w:val="24"/>
        </w:rPr>
        <w:t xml:space="preserve">Biography </w:t>
      </w:r>
    </w:p>
    <w:p w:rsidR="006B7C59" w:rsidRPr="006B7C59" w:rsidRDefault="006B7C59" w:rsidP="006B7C59">
      <w:pPr>
        <w:jc w:val="both"/>
        <w:rPr>
          <w:rFonts w:ascii="Times New Roman" w:hAnsi="Times New Roman" w:cs="Times New Roman"/>
          <w:sz w:val="20"/>
        </w:rPr>
      </w:pPr>
      <w:r w:rsidRPr="006B7C59">
        <w:rPr>
          <w:rFonts w:ascii="Times New Roman" w:hAnsi="Times New Roman" w:cs="Times New Roman"/>
          <w:sz w:val="20"/>
        </w:rPr>
        <w:t xml:space="preserve">Mehdi </w:t>
      </w:r>
      <w:proofErr w:type="spellStart"/>
      <w:r w:rsidRPr="006B7C59">
        <w:rPr>
          <w:rFonts w:ascii="Times New Roman" w:hAnsi="Times New Roman" w:cs="Times New Roman"/>
          <w:sz w:val="20"/>
        </w:rPr>
        <w:t>Maghbooli</w:t>
      </w:r>
      <w:proofErr w:type="spellEnd"/>
      <w:r w:rsidRPr="006B7C59">
        <w:rPr>
          <w:rFonts w:ascii="Times New Roman" w:hAnsi="Times New Roman" w:cs="Times New Roman"/>
          <w:sz w:val="20"/>
        </w:rPr>
        <w:t xml:space="preserve"> studied neurology at the Tehran University of Medical Sci</w:t>
      </w:r>
      <w:r>
        <w:rPr>
          <w:rFonts w:ascii="Times New Roman" w:hAnsi="Times New Roman" w:cs="Times New Roman"/>
          <w:sz w:val="20"/>
        </w:rPr>
        <w:t xml:space="preserve">ences, Iran and graduated as MD, </w:t>
      </w:r>
      <w:r w:rsidRPr="006B7C59">
        <w:rPr>
          <w:rFonts w:ascii="Times New Roman" w:hAnsi="Times New Roman" w:cs="Times New Roman"/>
          <w:sz w:val="20"/>
        </w:rPr>
        <w:t>P</w:t>
      </w:r>
      <w:r>
        <w:rPr>
          <w:rFonts w:ascii="Times New Roman" w:hAnsi="Times New Roman" w:cs="Times New Roman"/>
          <w:sz w:val="20"/>
        </w:rPr>
        <w:t>h</w:t>
      </w:r>
      <w:r w:rsidRPr="006B7C59">
        <w:rPr>
          <w:rFonts w:ascii="Times New Roman" w:hAnsi="Times New Roman" w:cs="Times New Roman"/>
          <w:sz w:val="20"/>
        </w:rPr>
        <w:t>D in 2006.</w:t>
      </w:r>
      <w:r>
        <w:rPr>
          <w:rFonts w:ascii="Times New Roman" w:hAnsi="Times New Roman" w:cs="Times New Roman"/>
          <w:sz w:val="20"/>
        </w:rPr>
        <w:t xml:space="preserve"> </w:t>
      </w:r>
      <w:r w:rsidRPr="006B7C59">
        <w:rPr>
          <w:rFonts w:ascii="Times New Roman" w:hAnsi="Times New Roman" w:cs="Times New Roman"/>
          <w:sz w:val="20"/>
        </w:rPr>
        <w:t xml:space="preserve">He then joined the </w:t>
      </w:r>
      <w:proofErr w:type="spellStart"/>
      <w:r w:rsidRPr="006B7C59">
        <w:rPr>
          <w:rFonts w:ascii="Times New Roman" w:hAnsi="Times New Roman" w:cs="Times New Roman"/>
          <w:sz w:val="20"/>
        </w:rPr>
        <w:t>Zanjan</w:t>
      </w:r>
      <w:proofErr w:type="spellEnd"/>
      <w:r w:rsidRPr="006B7C59">
        <w:rPr>
          <w:rFonts w:ascii="Times New Roman" w:hAnsi="Times New Roman" w:cs="Times New Roman"/>
          <w:sz w:val="20"/>
        </w:rPr>
        <w:t xml:space="preserve"> faculty of Medicine. He obtained the position of an Associate Professor in 2016 at the same institution. He has published more than 35 research articles.</w:t>
      </w:r>
    </w:p>
    <w:sectPr w:rsidR="006B7C59" w:rsidRPr="006B7C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C59"/>
    <w:rsid w:val="0032354D"/>
    <w:rsid w:val="00474203"/>
    <w:rsid w:val="004A2EC0"/>
    <w:rsid w:val="00535872"/>
    <w:rsid w:val="006B7C59"/>
    <w:rsid w:val="00924B33"/>
    <w:rsid w:val="00E71586"/>
    <w:rsid w:val="00EE4E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337</Words>
  <Characters>1925</Characters>
  <Application>Microsoft Office Word</Application>
  <DocSecurity>0</DocSecurity>
  <Lines>16</Lines>
  <Paragraphs>4</Paragraphs>
  <ScaleCrop>false</ScaleCrop>
  <Company/>
  <LinksUpToDate>false</LinksUpToDate>
  <CharactersWithSpaces>2258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2023-03-01T04:49:00Z</dcterms:created>
  <dcterms:modified xsi:type="dcterms:W3CDTF">2023-03-01T05:00:00Z</dcterms:modified>
</cp:coreProperties>
</file>