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D299F">
      <w:pPr>
        <w:rPr>
          <w:rFonts w:ascii="Times New Roman" w:hAnsi="Times New Roman" w:cs="Times New Roman"/>
          <w:b/>
          <w:sz w:val="32"/>
        </w:rPr>
      </w:pPr>
      <w:bookmarkStart w:id="0" w:name="_GoBack"/>
      <w:r w:rsidRPr="00CD299F">
        <w:rPr>
          <w:rFonts w:ascii="Times New Roman" w:hAnsi="Times New Roman" w:cs="Times New Roman"/>
          <w:b/>
          <w:sz w:val="32"/>
        </w:rPr>
        <w:t xml:space="preserve">Structure-based design and synthesis of </w:t>
      </w:r>
      <w:proofErr w:type="spellStart"/>
      <w:r w:rsidRPr="00CD299F">
        <w:rPr>
          <w:rFonts w:ascii="Times New Roman" w:hAnsi="Times New Roman" w:cs="Times New Roman"/>
          <w:b/>
          <w:sz w:val="32"/>
        </w:rPr>
        <w:t>conformationally</w:t>
      </w:r>
      <w:proofErr w:type="spellEnd"/>
      <w:r w:rsidRPr="00CD299F">
        <w:rPr>
          <w:rFonts w:ascii="Times New Roman" w:hAnsi="Times New Roman" w:cs="Times New Roman"/>
          <w:b/>
          <w:sz w:val="32"/>
        </w:rPr>
        <w:t xml:space="preserve"> constrained derivatives of methyl-</w:t>
      </w:r>
      <w:proofErr w:type="spellStart"/>
      <w:r w:rsidRPr="00CD299F">
        <w:rPr>
          <w:rFonts w:ascii="Times New Roman" w:hAnsi="Times New Roman" w:cs="Times New Roman"/>
          <w:b/>
          <w:sz w:val="32"/>
        </w:rPr>
        <w:t>piperidinopyrazole</w:t>
      </w:r>
      <w:proofErr w:type="spellEnd"/>
      <w:r w:rsidRPr="00CD299F">
        <w:rPr>
          <w:rFonts w:ascii="Times New Roman" w:hAnsi="Times New Roman" w:cs="Times New Roman"/>
          <w:b/>
          <w:sz w:val="32"/>
        </w:rPr>
        <w:t xml:space="preserve"> (MPP) with Estrogen Receptor (ER) antagonist activity</w:t>
      </w:r>
    </w:p>
    <w:p w:rsidR="00CD299F" w:rsidRDefault="00CD299F">
      <w:pPr>
        <w:rPr>
          <w:rFonts w:ascii="Times New Roman" w:hAnsi="Times New Roman" w:cs="Times New Roman"/>
          <w:sz w:val="24"/>
        </w:rPr>
      </w:pPr>
      <w:proofErr w:type="spellStart"/>
      <w:r w:rsidRPr="00CD299F">
        <w:rPr>
          <w:rFonts w:ascii="Times New Roman" w:hAnsi="Times New Roman" w:cs="Times New Roman"/>
          <w:sz w:val="24"/>
        </w:rPr>
        <w:t>Shaymaa</w:t>
      </w:r>
      <w:proofErr w:type="spellEnd"/>
      <w:r w:rsidRPr="00CD299F">
        <w:rPr>
          <w:rFonts w:ascii="Times New Roman" w:hAnsi="Times New Roman" w:cs="Times New Roman"/>
          <w:sz w:val="24"/>
        </w:rPr>
        <w:t xml:space="preserve"> E. </w:t>
      </w:r>
      <w:proofErr w:type="spellStart"/>
      <w:r w:rsidRPr="00CD299F">
        <w:rPr>
          <w:rFonts w:ascii="Times New Roman" w:hAnsi="Times New Roman" w:cs="Times New Roman"/>
          <w:sz w:val="24"/>
        </w:rPr>
        <w:t>Kassab</w:t>
      </w:r>
      <w:proofErr w:type="spellEnd"/>
    </w:p>
    <w:p w:rsidR="00CD299F" w:rsidRPr="00CD299F" w:rsidRDefault="00CD299F">
      <w:pPr>
        <w:rPr>
          <w:rFonts w:ascii="Times New Roman" w:hAnsi="Times New Roman" w:cs="Times New Roman"/>
        </w:rPr>
      </w:pPr>
      <w:proofErr w:type="spellStart"/>
      <w:r w:rsidRPr="00CD299F">
        <w:rPr>
          <w:rFonts w:ascii="Times New Roman" w:hAnsi="Times New Roman" w:cs="Times New Roman"/>
        </w:rPr>
        <w:t>Damanhour</w:t>
      </w:r>
      <w:proofErr w:type="spellEnd"/>
      <w:r w:rsidRPr="00CD299F">
        <w:rPr>
          <w:rFonts w:ascii="Times New Roman" w:hAnsi="Times New Roman" w:cs="Times New Roman"/>
        </w:rPr>
        <w:t xml:space="preserve"> University, Egypt</w:t>
      </w:r>
    </w:p>
    <w:p w:rsidR="00CD299F" w:rsidRPr="00CD299F" w:rsidRDefault="00CD299F" w:rsidP="00CD299F">
      <w:pPr>
        <w:jc w:val="center"/>
        <w:rPr>
          <w:rFonts w:ascii="Times New Roman" w:hAnsi="Times New Roman" w:cs="Times New Roman"/>
          <w:b/>
          <w:sz w:val="24"/>
        </w:rPr>
      </w:pPr>
      <w:r w:rsidRPr="00CD299F">
        <w:rPr>
          <w:rFonts w:ascii="Times New Roman" w:hAnsi="Times New Roman" w:cs="Times New Roman"/>
          <w:b/>
          <w:sz w:val="24"/>
        </w:rPr>
        <w:t>Abstract</w:t>
      </w:r>
    </w:p>
    <w:p w:rsidR="00CD299F" w:rsidRDefault="00CD299F" w:rsidP="00CD299F">
      <w:pPr>
        <w:jc w:val="both"/>
        <w:rPr>
          <w:rFonts w:ascii="Times New Roman" w:hAnsi="Times New Roman" w:cs="Times New Roman"/>
          <w:sz w:val="20"/>
        </w:rPr>
      </w:pPr>
      <w:r w:rsidRPr="008B3E04">
        <w:rPr>
          <w:rFonts w:ascii="Times New Roman" w:hAnsi="Times New Roman" w:cs="Times New Roman"/>
          <w:sz w:val="20"/>
        </w:rPr>
        <w:t xml:space="preserve">Nuclear Estrogen Receptors (ER) </w:t>
      </w:r>
      <w:r w:rsidR="008B3E04" w:rsidRPr="008B3E04">
        <w:rPr>
          <w:rFonts w:ascii="Times New Roman" w:hAnsi="Times New Roman" w:cs="Times New Roman"/>
          <w:sz w:val="20"/>
        </w:rPr>
        <w:t>is</w:t>
      </w:r>
      <w:r w:rsidRPr="008B3E04">
        <w:rPr>
          <w:rFonts w:ascii="Times New Roman" w:hAnsi="Times New Roman" w:cs="Times New Roman"/>
          <w:sz w:val="20"/>
        </w:rPr>
        <w:t xml:space="preserve"> cytoplasmic proteins; </w:t>
      </w:r>
      <w:proofErr w:type="spellStart"/>
      <w:r w:rsidRPr="008B3E04">
        <w:rPr>
          <w:rFonts w:ascii="Times New Roman" w:hAnsi="Times New Roman" w:cs="Times New Roman"/>
          <w:sz w:val="20"/>
        </w:rPr>
        <w:t>translocated</w:t>
      </w:r>
      <w:proofErr w:type="spellEnd"/>
      <w:r w:rsidRPr="008B3E04">
        <w:rPr>
          <w:rFonts w:ascii="Times New Roman" w:hAnsi="Times New Roman" w:cs="Times New Roman"/>
          <w:sz w:val="20"/>
        </w:rPr>
        <w:t xml:space="preserve"> to the nucleus to induce transcriptional signals after getting bound to the estrogen hormone. ER activation implicated in cancer cell proliferation of female reproductive organs. Thus, the discovery of ER antagonists is a reliable strategy to combat estrogen dependent breast cancer. Endometrial carcinoma is one of the complications encountered upon long-term therapy by Selective Estrogen Receptor Modulators (SERMs) like </w:t>
      </w:r>
      <w:proofErr w:type="spellStart"/>
      <w:r w:rsidRPr="008B3E04">
        <w:rPr>
          <w:rFonts w:ascii="Times New Roman" w:hAnsi="Times New Roman" w:cs="Times New Roman"/>
          <w:sz w:val="20"/>
        </w:rPr>
        <w:t>Tamoxifen</w:t>
      </w:r>
      <w:proofErr w:type="spellEnd"/>
      <w:r w:rsidRPr="008B3E04">
        <w:rPr>
          <w:rFonts w:ascii="Times New Roman" w:hAnsi="Times New Roman" w:cs="Times New Roman"/>
          <w:sz w:val="20"/>
        </w:rPr>
        <w:t xml:space="preserve"> (TMX) and Methyl </w:t>
      </w:r>
      <w:proofErr w:type="spellStart"/>
      <w:r w:rsidRPr="008B3E04">
        <w:rPr>
          <w:rFonts w:ascii="Times New Roman" w:hAnsi="Times New Roman" w:cs="Times New Roman"/>
          <w:sz w:val="20"/>
        </w:rPr>
        <w:t>Piperidino</w:t>
      </w:r>
      <w:proofErr w:type="spellEnd"/>
      <w:r w:rsidRPr="008B3E04">
        <w:rPr>
          <w:rFonts w:ascii="Times New Roman" w:hAnsi="Times New Roman" w:cs="Times New Roman"/>
          <w:sz w:val="20"/>
        </w:rPr>
        <w:t xml:space="preserve"> </w:t>
      </w:r>
      <w:proofErr w:type="spellStart"/>
      <w:r w:rsidRPr="008B3E04">
        <w:rPr>
          <w:rFonts w:ascii="Times New Roman" w:hAnsi="Times New Roman" w:cs="Times New Roman"/>
          <w:sz w:val="20"/>
        </w:rPr>
        <w:t>Pyrazole</w:t>
      </w:r>
      <w:proofErr w:type="spellEnd"/>
      <w:r w:rsidRPr="008B3E04">
        <w:rPr>
          <w:rFonts w:ascii="Times New Roman" w:hAnsi="Times New Roman" w:cs="Times New Roman"/>
          <w:sz w:val="20"/>
        </w:rPr>
        <w:t xml:space="preserve"> (MPP). Thus, the ER-full antagonist is a solution to improve the safety of this class of therapeutics during the treatment of breast cancer. We selected MPP as a lead structure to design </w:t>
      </w:r>
      <w:proofErr w:type="spellStart"/>
      <w:r w:rsidRPr="008B3E04">
        <w:rPr>
          <w:rFonts w:ascii="Times New Roman" w:hAnsi="Times New Roman" w:cs="Times New Roman"/>
          <w:sz w:val="20"/>
        </w:rPr>
        <w:t>conformationally</w:t>
      </w:r>
      <w:proofErr w:type="spellEnd"/>
      <w:r w:rsidRPr="008B3E04">
        <w:rPr>
          <w:rFonts w:ascii="Times New Roman" w:hAnsi="Times New Roman" w:cs="Times New Roman"/>
          <w:sz w:val="20"/>
        </w:rPr>
        <w:t xml:space="preserve"> constrained analogs. Structural </w:t>
      </w:r>
      <w:proofErr w:type="spellStart"/>
      <w:r w:rsidRPr="008B3E04">
        <w:rPr>
          <w:rFonts w:ascii="Times New Roman" w:hAnsi="Times New Roman" w:cs="Times New Roman"/>
          <w:sz w:val="20"/>
        </w:rPr>
        <w:t>rigidification</w:t>
      </w:r>
      <w:proofErr w:type="spellEnd"/>
      <w:r w:rsidRPr="008B3E04">
        <w:rPr>
          <w:rFonts w:ascii="Times New Roman" w:hAnsi="Times New Roman" w:cs="Times New Roman"/>
          <w:sz w:val="20"/>
        </w:rPr>
        <w:t xml:space="preserve"> is a proven strategy to transform the SERMs into full antagonists. Accordingly, we synthesized 7-methoxy-3-(4-methoxyphenyl)-4</w:t>
      </w:r>
      <w:proofErr w:type="gramStart"/>
      <w:r w:rsidRPr="008B3E04">
        <w:rPr>
          <w:rFonts w:ascii="Times New Roman" w:hAnsi="Times New Roman" w:cs="Times New Roman"/>
          <w:sz w:val="20"/>
        </w:rPr>
        <w:t>,5</w:t>
      </w:r>
      <w:proofErr w:type="gramEnd"/>
      <w:r w:rsidRPr="008B3E04">
        <w:rPr>
          <w:rFonts w:ascii="Times New Roman" w:hAnsi="Times New Roman" w:cs="Times New Roman"/>
          <w:sz w:val="20"/>
        </w:rPr>
        <w:t>-dihydro-2H-benzo[g]</w:t>
      </w:r>
      <w:proofErr w:type="spellStart"/>
      <w:r w:rsidRPr="008B3E04">
        <w:rPr>
          <w:rFonts w:ascii="Times New Roman" w:hAnsi="Times New Roman" w:cs="Times New Roman"/>
          <w:sz w:val="20"/>
        </w:rPr>
        <w:t>indazoles</w:t>
      </w:r>
      <w:proofErr w:type="spellEnd"/>
      <w:r w:rsidRPr="008B3E04">
        <w:rPr>
          <w:rFonts w:ascii="Times New Roman" w:hAnsi="Times New Roman" w:cs="Times New Roman"/>
          <w:sz w:val="20"/>
        </w:rPr>
        <w:t xml:space="preserve"> (4), (6a-c), (8–12) along with the </w:t>
      </w:r>
      <w:proofErr w:type="spellStart"/>
      <w:r w:rsidRPr="008B3E04">
        <w:rPr>
          <w:rFonts w:ascii="Times New Roman" w:hAnsi="Times New Roman" w:cs="Times New Roman"/>
          <w:sz w:val="20"/>
        </w:rPr>
        <w:t>biphenolic</w:t>
      </w:r>
      <w:proofErr w:type="spellEnd"/>
      <w:r w:rsidRPr="008B3E04">
        <w:rPr>
          <w:rFonts w:ascii="Times New Roman" w:hAnsi="Times New Roman" w:cs="Times New Roman"/>
          <w:sz w:val="20"/>
        </w:rPr>
        <w:t xml:space="preserve"> counterparts (13–19) that are the anticipated active metabolites. The 4-nitrophenyl derivative (4) is with the most balanced profile regarding the </w:t>
      </w:r>
      <w:r w:rsidRPr="008B3E04">
        <w:rPr>
          <w:rFonts w:ascii="Times New Roman" w:hAnsi="Times New Roman" w:cs="Times New Roman"/>
          <w:i/>
          <w:sz w:val="20"/>
        </w:rPr>
        <w:t>in vivo</w:t>
      </w:r>
      <w:r w:rsidRPr="008B3E04">
        <w:rPr>
          <w:rFonts w:ascii="Times New Roman" w:hAnsi="Times New Roman" w:cs="Times New Roman"/>
          <w:sz w:val="20"/>
        </w:rPr>
        <w:t xml:space="preserve"> anti-</w:t>
      </w:r>
      <w:proofErr w:type="spellStart"/>
      <w:r w:rsidRPr="008B3E04">
        <w:rPr>
          <w:rFonts w:ascii="Times New Roman" w:hAnsi="Times New Roman" w:cs="Times New Roman"/>
          <w:sz w:val="20"/>
        </w:rPr>
        <w:t>uterotrophic</w:t>
      </w:r>
      <w:proofErr w:type="spellEnd"/>
      <w:r w:rsidRPr="008B3E04">
        <w:rPr>
          <w:rFonts w:ascii="Times New Roman" w:hAnsi="Times New Roman" w:cs="Times New Roman"/>
          <w:sz w:val="20"/>
        </w:rPr>
        <w:t xml:space="preserve"> potential (EC</w:t>
      </w:r>
      <w:r w:rsidRPr="008B3E04">
        <w:rPr>
          <w:rFonts w:ascii="Times New Roman" w:hAnsi="Times New Roman" w:cs="Times New Roman"/>
          <w:sz w:val="20"/>
          <w:vertAlign w:val="subscript"/>
        </w:rPr>
        <w:t>50</w:t>
      </w:r>
      <w:r w:rsidRPr="008B3E04">
        <w:rPr>
          <w:rFonts w:ascii="Times New Roman" w:hAnsi="Times New Roman" w:cs="Times New Roman"/>
          <w:sz w:val="20"/>
        </w:rPr>
        <w:t xml:space="preserve">=4.160 </w:t>
      </w:r>
      <w:proofErr w:type="spellStart"/>
      <w:r w:rsidRPr="008B3E04">
        <w:rPr>
          <w:rFonts w:ascii="Times New Roman" w:hAnsi="Times New Roman" w:cs="Times New Roman"/>
          <w:sz w:val="20"/>
        </w:rPr>
        <w:t>μM</w:t>
      </w:r>
      <w:proofErr w:type="spellEnd"/>
      <w:r w:rsidRPr="008B3E04">
        <w:rPr>
          <w:rFonts w:ascii="Times New Roman" w:hAnsi="Times New Roman" w:cs="Times New Roman"/>
          <w:sz w:val="20"/>
        </w:rPr>
        <w:t>); and the cytotoxicity assay of the corresponding active metabolite (13) against ER+ breast cancer cell lines (MCF7 IC</w:t>
      </w:r>
      <w:r w:rsidRPr="008B3E04">
        <w:rPr>
          <w:rFonts w:ascii="Times New Roman" w:hAnsi="Times New Roman" w:cs="Times New Roman"/>
          <w:sz w:val="20"/>
          <w:vertAlign w:val="subscript"/>
        </w:rPr>
        <w:t>50</w:t>
      </w:r>
      <w:r w:rsidRPr="008B3E04">
        <w:rPr>
          <w:rFonts w:ascii="Times New Roman" w:hAnsi="Times New Roman" w:cs="Times New Roman"/>
          <w:sz w:val="20"/>
        </w:rPr>
        <w:t xml:space="preserve">=7.200 </w:t>
      </w:r>
      <w:proofErr w:type="spellStart"/>
      <w:r w:rsidRPr="008B3E04">
        <w:rPr>
          <w:rFonts w:ascii="Times New Roman" w:hAnsi="Times New Roman" w:cs="Times New Roman"/>
          <w:sz w:val="20"/>
        </w:rPr>
        <w:t>μM</w:t>
      </w:r>
      <w:proofErr w:type="spellEnd"/>
      <w:r w:rsidRPr="008B3E04">
        <w:rPr>
          <w:rFonts w:ascii="Times New Roman" w:hAnsi="Times New Roman" w:cs="Times New Roman"/>
          <w:sz w:val="20"/>
        </w:rPr>
        <w:t>, T-47D (IC</w:t>
      </w:r>
      <w:r w:rsidRPr="008B3E04">
        <w:rPr>
          <w:rFonts w:ascii="Times New Roman" w:hAnsi="Times New Roman" w:cs="Times New Roman"/>
          <w:sz w:val="20"/>
          <w:vertAlign w:val="subscript"/>
        </w:rPr>
        <w:t>50</w:t>
      </w:r>
      <w:r w:rsidRPr="008B3E04">
        <w:rPr>
          <w:rFonts w:ascii="Times New Roman" w:hAnsi="Times New Roman" w:cs="Times New Roman"/>
          <w:sz w:val="20"/>
        </w:rPr>
        <w:t xml:space="preserve">=11.710 </w:t>
      </w:r>
      <w:proofErr w:type="spellStart"/>
      <w:r w:rsidRPr="008B3E04">
        <w:rPr>
          <w:rFonts w:ascii="Times New Roman" w:hAnsi="Times New Roman" w:cs="Times New Roman"/>
          <w:sz w:val="20"/>
        </w:rPr>
        <w:t>μM</w:t>
      </w:r>
      <w:proofErr w:type="spellEnd"/>
      <w:r w:rsidRPr="008B3E04">
        <w:rPr>
          <w:rFonts w:ascii="Times New Roman" w:hAnsi="Times New Roman" w:cs="Times New Roman"/>
          <w:sz w:val="20"/>
        </w:rPr>
        <w:t xml:space="preserve">). The inconsiderable </w:t>
      </w:r>
      <w:proofErr w:type="spellStart"/>
      <w:r w:rsidRPr="008B3E04">
        <w:rPr>
          <w:rFonts w:ascii="Times New Roman" w:hAnsi="Times New Roman" w:cs="Times New Roman"/>
          <w:sz w:val="20"/>
        </w:rPr>
        <w:t>uterotrophic</w:t>
      </w:r>
      <w:proofErr w:type="spellEnd"/>
      <w:r w:rsidRPr="008B3E04">
        <w:rPr>
          <w:rFonts w:ascii="Times New Roman" w:hAnsi="Times New Roman" w:cs="Times New Roman"/>
          <w:sz w:val="20"/>
        </w:rPr>
        <w:t xml:space="preserve"> activities of the elaborated ER antagonists and weak </w:t>
      </w:r>
      <w:proofErr w:type="spellStart"/>
      <w:r w:rsidRPr="008B3E04">
        <w:rPr>
          <w:rFonts w:ascii="Times New Roman" w:hAnsi="Times New Roman" w:cs="Times New Roman"/>
          <w:sz w:val="20"/>
        </w:rPr>
        <w:t>antiproliferative</w:t>
      </w:r>
      <w:proofErr w:type="spellEnd"/>
      <w:r w:rsidRPr="008B3E04">
        <w:rPr>
          <w:rFonts w:ascii="Times New Roman" w:hAnsi="Times New Roman" w:cs="Times New Roman"/>
          <w:sz w:val="20"/>
        </w:rPr>
        <w:t xml:space="preserve"> activity of the compound (13) against ovarian cancer (SKOV-3 IC</w:t>
      </w:r>
      <w:r w:rsidRPr="008B3E04">
        <w:rPr>
          <w:rFonts w:ascii="Times New Roman" w:hAnsi="Times New Roman" w:cs="Times New Roman"/>
          <w:sz w:val="20"/>
          <w:vertAlign w:val="subscript"/>
        </w:rPr>
        <w:t>50</w:t>
      </w:r>
      <w:r w:rsidRPr="008B3E04">
        <w:rPr>
          <w:rFonts w:ascii="Times New Roman" w:hAnsi="Times New Roman" w:cs="Times New Roman"/>
          <w:sz w:val="20"/>
        </w:rPr>
        <w:t xml:space="preserve">=29.800 </w:t>
      </w:r>
      <w:proofErr w:type="spellStart"/>
      <w:r w:rsidRPr="008B3E04">
        <w:rPr>
          <w:rFonts w:ascii="Times New Roman" w:hAnsi="Times New Roman" w:cs="Times New Roman"/>
          <w:sz w:val="20"/>
        </w:rPr>
        <w:t>μM</w:t>
      </w:r>
      <w:proofErr w:type="spellEnd"/>
      <w:r w:rsidRPr="008B3E04">
        <w:rPr>
          <w:rFonts w:ascii="Times New Roman" w:hAnsi="Times New Roman" w:cs="Times New Roman"/>
          <w:sz w:val="20"/>
        </w:rPr>
        <w:t xml:space="preserve">) highlighted it as a good start point to elaborate potential ER-full antagonists devoid of endometrial carcinoma. Extending the pendant chain that protrudes from the 2-(4-(substituted)-phenyl) ring of the new </w:t>
      </w:r>
      <w:proofErr w:type="spellStart"/>
      <w:r w:rsidRPr="008B3E04">
        <w:rPr>
          <w:rFonts w:ascii="Times New Roman" w:hAnsi="Times New Roman" w:cs="Times New Roman"/>
          <w:sz w:val="20"/>
        </w:rPr>
        <w:t>benzo-indazoles</w:t>
      </w:r>
      <w:proofErr w:type="spellEnd"/>
      <w:r w:rsidRPr="008B3E04">
        <w:rPr>
          <w:rFonts w:ascii="Times New Roman" w:hAnsi="Times New Roman" w:cs="Times New Roman"/>
          <w:sz w:val="20"/>
        </w:rPr>
        <w:t xml:space="preserve"> is recommended for enhancing the potency based on the binding mode of compound (13) in the Ligand-Binding Domain (LBD) of ER</w:t>
      </w:r>
      <w:r w:rsidR="008B3E04">
        <w:rPr>
          <w:rFonts w:ascii="Times New Roman" w:hAnsi="Times New Roman" w:cs="Times New Roman"/>
          <w:sz w:val="20"/>
        </w:rPr>
        <w:t xml:space="preserve"> [Figure 1]</w:t>
      </w:r>
      <w:r w:rsidRPr="008B3E04">
        <w:rPr>
          <w:rFonts w:ascii="Times New Roman" w:hAnsi="Times New Roman" w:cs="Times New Roman"/>
          <w:sz w:val="20"/>
        </w:rPr>
        <w:t>.</w:t>
      </w:r>
    </w:p>
    <w:p w:rsidR="008B3E04" w:rsidRDefault="008B3E04" w:rsidP="008B3E0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417C861">
            <wp:extent cx="2914311" cy="2067339"/>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4015" cy="2067129"/>
                    </a:xfrm>
                    <a:prstGeom prst="rect">
                      <a:avLst/>
                    </a:prstGeom>
                    <a:noFill/>
                  </pic:spPr>
                </pic:pic>
              </a:graphicData>
            </a:graphic>
          </wp:inline>
        </w:drawing>
      </w:r>
    </w:p>
    <w:p w:rsidR="008B3E04" w:rsidRPr="008B3E04" w:rsidRDefault="008B3E04" w:rsidP="008B3E04">
      <w:pPr>
        <w:jc w:val="center"/>
        <w:rPr>
          <w:rFonts w:ascii="Times New Roman" w:hAnsi="Times New Roman" w:cs="Times New Roman"/>
          <w:i/>
          <w:sz w:val="18"/>
        </w:rPr>
      </w:pPr>
      <w:proofErr w:type="gramStart"/>
      <w:r w:rsidRPr="008B3E04">
        <w:rPr>
          <w:rFonts w:ascii="Times New Roman" w:hAnsi="Times New Roman" w:cs="Times New Roman"/>
          <w:b/>
          <w:i/>
          <w:sz w:val="18"/>
        </w:rPr>
        <w:t>Figure 1.</w:t>
      </w:r>
      <w:proofErr w:type="gramEnd"/>
      <w:r w:rsidRPr="008B3E04">
        <w:rPr>
          <w:rFonts w:ascii="Times New Roman" w:hAnsi="Times New Roman" w:cs="Times New Roman"/>
          <w:i/>
          <w:sz w:val="18"/>
        </w:rPr>
        <w:t xml:space="preserve"> </w:t>
      </w:r>
      <w:proofErr w:type="gramStart"/>
      <w:r w:rsidRPr="008B3E04">
        <w:rPr>
          <w:rFonts w:ascii="Times New Roman" w:hAnsi="Times New Roman" w:cs="Times New Roman"/>
          <w:i/>
          <w:sz w:val="18"/>
        </w:rPr>
        <w:t>Graphical abstract.</w:t>
      </w:r>
      <w:proofErr w:type="gramEnd"/>
    </w:p>
    <w:p w:rsidR="008B3E04" w:rsidRPr="008B3E04" w:rsidRDefault="008B3E04" w:rsidP="008B3E04">
      <w:pPr>
        <w:rPr>
          <w:rFonts w:ascii="Times New Roman" w:hAnsi="Times New Roman" w:cs="Times New Roman"/>
          <w:b/>
          <w:sz w:val="24"/>
        </w:rPr>
      </w:pPr>
      <w:r w:rsidRPr="008B3E04">
        <w:rPr>
          <w:rFonts w:ascii="Times New Roman" w:hAnsi="Times New Roman" w:cs="Times New Roman"/>
          <w:b/>
          <w:sz w:val="24"/>
        </w:rPr>
        <w:t>Biography</w:t>
      </w:r>
    </w:p>
    <w:p w:rsidR="00CD299F" w:rsidRPr="00CD299F" w:rsidRDefault="008B3E04" w:rsidP="00CD299F">
      <w:pPr>
        <w:jc w:val="both"/>
        <w:rPr>
          <w:rFonts w:ascii="Times New Roman" w:hAnsi="Times New Roman" w:cs="Times New Roman"/>
          <w:sz w:val="20"/>
        </w:rPr>
      </w:pPr>
      <w:proofErr w:type="spellStart"/>
      <w:r w:rsidRPr="008B3E04">
        <w:rPr>
          <w:rFonts w:ascii="Times New Roman" w:hAnsi="Times New Roman" w:cs="Times New Roman"/>
          <w:sz w:val="20"/>
        </w:rPr>
        <w:t>Kassab</w:t>
      </w:r>
      <w:proofErr w:type="spellEnd"/>
      <w:r w:rsidRPr="008B3E04">
        <w:rPr>
          <w:rFonts w:ascii="Times New Roman" w:hAnsi="Times New Roman" w:cs="Times New Roman"/>
          <w:sz w:val="20"/>
        </w:rPr>
        <w:t xml:space="preserve"> is currently Associate Professor of Medicinal Chemistry at Faculty of Pharmacy-</w:t>
      </w:r>
      <w:proofErr w:type="spellStart"/>
      <w:r w:rsidRPr="008B3E04">
        <w:rPr>
          <w:rFonts w:ascii="Times New Roman" w:hAnsi="Times New Roman" w:cs="Times New Roman"/>
          <w:sz w:val="20"/>
        </w:rPr>
        <w:t>Damanhour</w:t>
      </w:r>
      <w:proofErr w:type="spellEnd"/>
      <w:r w:rsidRPr="008B3E04">
        <w:rPr>
          <w:rFonts w:ascii="Times New Roman" w:hAnsi="Times New Roman" w:cs="Times New Roman"/>
          <w:sz w:val="20"/>
        </w:rPr>
        <w:t xml:space="preserve"> University. In 2014, she joined a research group at the University of Maryland in Baltimore in the USA as a research fellow </w:t>
      </w:r>
      <w:r w:rsidRPr="008B3E04">
        <w:rPr>
          <w:rFonts w:ascii="Times New Roman" w:hAnsi="Times New Roman" w:cs="Times New Roman"/>
          <w:i/>
          <w:sz w:val="20"/>
        </w:rPr>
        <w:t>via</w:t>
      </w:r>
      <w:r w:rsidRPr="008B3E04">
        <w:rPr>
          <w:rFonts w:ascii="Times New Roman" w:hAnsi="Times New Roman" w:cs="Times New Roman"/>
          <w:sz w:val="20"/>
        </w:rPr>
        <w:t xml:space="preserve"> a personal grant and patented a compound of therapeutic value against B call lymphoma. In 2016, she went back to </w:t>
      </w:r>
      <w:r w:rsidRPr="008B3E04">
        <w:rPr>
          <w:rFonts w:ascii="Times New Roman" w:hAnsi="Times New Roman" w:cs="Times New Roman"/>
          <w:sz w:val="20"/>
        </w:rPr>
        <w:lastRenderedPageBreak/>
        <w:t xml:space="preserve">USA as a research fellow at top universities there, Virginia Commonwealth and Texas </w:t>
      </w:r>
      <w:proofErr w:type="gramStart"/>
      <w:r w:rsidRPr="008B3E04">
        <w:rPr>
          <w:rFonts w:ascii="Times New Roman" w:hAnsi="Times New Roman" w:cs="Times New Roman"/>
          <w:sz w:val="20"/>
        </w:rPr>
        <w:t>A&amp;M</w:t>
      </w:r>
      <w:proofErr w:type="gramEnd"/>
      <w:r w:rsidRPr="008B3E04">
        <w:rPr>
          <w:rFonts w:ascii="Times New Roman" w:hAnsi="Times New Roman" w:cs="Times New Roman"/>
          <w:sz w:val="20"/>
        </w:rPr>
        <w:t xml:space="preserve"> to learn and get trained on advanced research instruments and join research projects targeting neurological disorders. </w:t>
      </w:r>
      <w:r>
        <w:rPr>
          <w:rFonts w:ascii="Times New Roman" w:hAnsi="Times New Roman" w:cs="Times New Roman"/>
          <w:sz w:val="20"/>
        </w:rPr>
        <w:t>Her</w:t>
      </w:r>
      <w:r w:rsidRPr="008B3E04">
        <w:rPr>
          <w:rFonts w:ascii="Times New Roman" w:hAnsi="Times New Roman" w:cs="Times New Roman"/>
          <w:sz w:val="20"/>
        </w:rPr>
        <w:t xml:space="preserve"> publications are in Q1-lead-international journals and specialized in Medicinal Chemistry and drug discovery. She focuses on designing novel compounds and developing others to be with minimized adverse effects and is selectively acting against the biological targets. </w:t>
      </w:r>
      <w:r>
        <w:rPr>
          <w:rFonts w:ascii="Times New Roman" w:hAnsi="Times New Roman" w:cs="Times New Roman"/>
          <w:sz w:val="20"/>
        </w:rPr>
        <w:t>She</w:t>
      </w:r>
      <w:r w:rsidRPr="008B3E04">
        <w:rPr>
          <w:rFonts w:ascii="Times New Roman" w:hAnsi="Times New Roman" w:cs="Times New Roman"/>
          <w:sz w:val="20"/>
        </w:rPr>
        <w:t xml:space="preserve"> is a reviewer for Journal of Medicinal Chemistry, European Journal of Medicinal Chemistry</w:t>
      </w:r>
      <w:r>
        <w:rPr>
          <w:rFonts w:ascii="Times New Roman" w:hAnsi="Times New Roman" w:cs="Times New Roman"/>
          <w:sz w:val="20"/>
        </w:rPr>
        <w:t xml:space="preserve"> and</w:t>
      </w:r>
      <w:r w:rsidRPr="008B3E04">
        <w:rPr>
          <w:rFonts w:ascii="Times New Roman" w:hAnsi="Times New Roman" w:cs="Times New Roman"/>
          <w:sz w:val="20"/>
        </w:rPr>
        <w:t xml:space="preserve"> ACS Omega.</w:t>
      </w:r>
      <w:bookmarkEnd w:id="0"/>
    </w:p>
    <w:sectPr w:rsidR="00CD299F" w:rsidRPr="00CD29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99F"/>
    <w:rsid w:val="0032354D"/>
    <w:rsid w:val="00474203"/>
    <w:rsid w:val="00535872"/>
    <w:rsid w:val="008B3E04"/>
    <w:rsid w:val="00924B33"/>
    <w:rsid w:val="00CD2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E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E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2023-02-16T05:22:00Z</dcterms:created>
  <dcterms:modified xsi:type="dcterms:W3CDTF">2023-02-16T05:43:00Z</dcterms:modified>
</cp:coreProperties>
</file>