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12BFA">
      <w:pPr>
        <w:rPr>
          <w:rFonts w:ascii="Times New Roman" w:hAnsi="Times New Roman" w:cs="Times New Roman"/>
          <w:b/>
          <w:sz w:val="32"/>
        </w:rPr>
      </w:pPr>
      <w:bookmarkStart w:id="0" w:name="_GoBack"/>
      <w:r w:rsidRPr="00912BFA">
        <w:rPr>
          <w:rFonts w:ascii="Times New Roman" w:hAnsi="Times New Roman" w:cs="Times New Roman"/>
          <w:b/>
          <w:sz w:val="32"/>
        </w:rPr>
        <w:t xml:space="preserve">Efficient and easy physical co-immobilization procedure of </w:t>
      </w:r>
      <w:proofErr w:type="spellStart"/>
      <w:r w:rsidRPr="00912BFA">
        <w:rPr>
          <w:rFonts w:ascii="Times New Roman" w:hAnsi="Times New Roman" w:cs="Times New Roman"/>
          <w:b/>
          <w:sz w:val="32"/>
        </w:rPr>
        <w:t>cellulase</w:t>
      </w:r>
      <w:proofErr w:type="spellEnd"/>
      <w:r w:rsidRPr="00912BFA">
        <w:rPr>
          <w:rFonts w:ascii="Times New Roman" w:hAnsi="Times New Roman" w:cs="Times New Roman"/>
          <w:b/>
          <w:sz w:val="32"/>
        </w:rPr>
        <w:t xml:space="preserve"> and β-glucosidase into wrinkled silica nanoparticles for the hydrolysis of cellulose extracted from agricultural waste</w:t>
      </w:r>
    </w:p>
    <w:p w:rsidR="00912BFA" w:rsidRDefault="00912BFA">
      <w:pPr>
        <w:rPr>
          <w:rFonts w:ascii="Times New Roman" w:hAnsi="Times New Roman" w:cs="Times New Roman"/>
          <w:sz w:val="24"/>
        </w:rPr>
      </w:pPr>
      <w:proofErr w:type="spellStart"/>
      <w:r w:rsidRPr="00912BFA">
        <w:rPr>
          <w:rFonts w:ascii="Times New Roman" w:hAnsi="Times New Roman" w:cs="Times New Roman"/>
          <w:sz w:val="24"/>
        </w:rPr>
        <w:t>Aniello</w:t>
      </w:r>
      <w:proofErr w:type="spellEnd"/>
      <w:r w:rsidRPr="00912BFA">
        <w:rPr>
          <w:rFonts w:ascii="Times New Roman" w:hAnsi="Times New Roman" w:cs="Times New Roman"/>
          <w:sz w:val="24"/>
        </w:rPr>
        <w:t xml:space="preserve"> </w:t>
      </w:r>
      <w:proofErr w:type="spellStart"/>
      <w:r w:rsidRPr="00912BFA">
        <w:rPr>
          <w:rFonts w:ascii="Times New Roman" w:hAnsi="Times New Roman" w:cs="Times New Roman"/>
          <w:sz w:val="24"/>
        </w:rPr>
        <w:t>Costantini</w:t>
      </w:r>
      <w:proofErr w:type="spellEnd"/>
    </w:p>
    <w:p w:rsidR="00912BFA" w:rsidRPr="00912BFA" w:rsidRDefault="00912BFA">
      <w:pPr>
        <w:rPr>
          <w:rFonts w:ascii="Times New Roman" w:hAnsi="Times New Roman" w:cs="Times New Roman"/>
        </w:rPr>
      </w:pPr>
      <w:r w:rsidRPr="00912BFA">
        <w:rPr>
          <w:rFonts w:ascii="Times New Roman" w:hAnsi="Times New Roman" w:cs="Times New Roman"/>
        </w:rPr>
        <w:t>University of Naples Federico II, Italy</w:t>
      </w:r>
    </w:p>
    <w:p w:rsidR="00912BFA" w:rsidRPr="00912BFA" w:rsidRDefault="00912BFA" w:rsidP="00912BFA">
      <w:pPr>
        <w:jc w:val="center"/>
        <w:rPr>
          <w:rFonts w:ascii="Times New Roman" w:hAnsi="Times New Roman" w:cs="Times New Roman"/>
          <w:b/>
          <w:sz w:val="24"/>
        </w:rPr>
      </w:pPr>
      <w:r w:rsidRPr="00912BFA">
        <w:rPr>
          <w:rFonts w:ascii="Times New Roman" w:hAnsi="Times New Roman" w:cs="Times New Roman"/>
          <w:b/>
          <w:sz w:val="24"/>
        </w:rPr>
        <w:t>Abstract</w:t>
      </w:r>
    </w:p>
    <w:p w:rsidR="00912BFA" w:rsidRDefault="00912BFA" w:rsidP="00912BFA">
      <w:pPr>
        <w:jc w:val="both"/>
        <w:rPr>
          <w:rFonts w:ascii="Times New Roman" w:hAnsi="Times New Roman" w:cs="Times New Roman"/>
          <w:sz w:val="20"/>
        </w:rPr>
      </w:pPr>
      <w:r w:rsidRPr="00912BFA">
        <w:rPr>
          <w:rFonts w:ascii="Times New Roman" w:hAnsi="Times New Roman" w:cs="Times New Roman"/>
          <w:sz w:val="20"/>
        </w:rPr>
        <w:t xml:space="preserve">The efficiency of cellulose hydrolysis is negatively affected by the low amount of </w:t>
      </w:r>
      <w:r>
        <w:rPr>
          <w:rFonts w:ascii="Times New Roman" w:hAnsi="Times New Roman" w:cs="Times New Roman"/>
          <w:sz w:val="20"/>
        </w:rPr>
        <w:t>β</w:t>
      </w:r>
      <w:r w:rsidRPr="00912BFA">
        <w:rPr>
          <w:rFonts w:ascii="Times New Roman" w:hAnsi="Times New Roman" w:cs="Times New Roman"/>
          <w:sz w:val="20"/>
        </w:rPr>
        <w:t xml:space="preserve">-glucosidase (BG) contained in fungal </w:t>
      </w:r>
      <w:proofErr w:type="spellStart"/>
      <w:r w:rsidRPr="00912BFA">
        <w:rPr>
          <w:rFonts w:ascii="Times New Roman" w:hAnsi="Times New Roman" w:cs="Times New Roman"/>
          <w:sz w:val="20"/>
        </w:rPr>
        <w:t>cellulase</w:t>
      </w:r>
      <w:proofErr w:type="spellEnd"/>
      <w:r w:rsidRPr="00912BFA">
        <w:rPr>
          <w:rFonts w:ascii="Times New Roman" w:hAnsi="Times New Roman" w:cs="Times New Roman"/>
          <w:sz w:val="20"/>
        </w:rPr>
        <w:t xml:space="preserve"> enzyme cocktail. So, we implemented a strategy to physically co-immobilize </w:t>
      </w:r>
      <w:r>
        <w:rPr>
          <w:rFonts w:ascii="Times New Roman" w:hAnsi="Times New Roman" w:cs="Times New Roman"/>
          <w:sz w:val="20"/>
        </w:rPr>
        <w:t>β</w:t>
      </w:r>
      <w:r w:rsidRPr="00912BFA">
        <w:rPr>
          <w:rFonts w:ascii="Times New Roman" w:hAnsi="Times New Roman" w:cs="Times New Roman"/>
          <w:sz w:val="20"/>
        </w:rPr>
        <w:t xml:space="preserve">-glucosidase and </w:t>
      </w:r>
      <w:proofErr w:type="spellStart"/>
      <w:r w:rsidRPr="00912BFA">
        <w:rPr>
          <w:rFonts w:ascii="Times New Roman" w:hAnsi="Times New Roman" w:cs="Times New Roman"/>
          <w:sz w:val="20"/>
        </w:rPr>
        <w:t>cellulase</w:t>
      </w:r>
      <w:proofErr w:type="spellEnd"/>
      <w:r w:rsidRPr="00912BFA">
        <w:rPr>
          <w:rFonts w:ascii="Times New Roman" w:hAnsi="Times New Roman" w:cs="Times New Roman"/>
          <w:sz w:val="20"/>
        </w:rPr>
        <w:t xml:space="preserve"> on Wrinkled </w:t>
      </w:r>
      <w:proofErr w:type="spellStart"/>
      <w:r w:rsidRPr="00912BFA">
        <w:rPr>
          <w:rFonts w:ascii="Times New Roman" w:hAnsi="Times New Roman" w:cs="Times New Roman"/>
          <w:sz w:val="20"/>
        </w:rPr>
        <w:t>Mesoporous</w:t>
      </w:r>
      <w:proofErr w:type="spellEnd"/>
      <w:r w:rsidRPr="00912BFA">
        <w:rPr>
          <w:rFonts w:ascii="Times New Roman" w:hAnsi="Times New Roman" w:cs="Times New Roman"/>
          <w:sz w:val="20"/>
        </w:rPr>
        <w:t xml:space="preserve"> Silica Nanoparticles (WSNs) to enhance glucose production. WSNs are nanoparticles with radial and hierarchical open pore structure, exhibiting smaller (WSN) and larger (WSN-p) inter-wrinkle distance depending on the synthesis strategy. The immobilization was carried out separately on different vectors (WSN for BG and WSN-p for </w:t>
      </w:r>
      <w:proofErr w:type="spellStart"/>
      <w:r w:rsidRPr="00912BFA">
        <w:rPr>
          <w:rFonts w:ascii="Times New Roman" w:hAnsi="Times New Roman" w:cs="Times New Roman"/>
          <w:sz w:val="20"/>
        </w:rPr>
        <w:t>cellulase</w:t>
      </w:r>
      <w:proofErr w:type="spellEnd"/>
      <w:r w:rsidRPr="00912BFA">
        <w:rPr>
          <w:rFonts w:ascii="Times New Roman" w:hAnsi="Times New Roman" w:cs="Times New Roman"/>
          <w:sz w:val="20"/>
        </w:rPr>
        <w:t>); simultaneo</w:t>
      </w:r>
      <w:r>
        <w:rPr>
          <w:rFonts w:ascii="Times New Roman" w:hAnsi="Times New Roman" w:cs="Times New Roman"/>
          <w:sz w:val="20"/>
        </w:rPr>
        <w:t>usly on the same vector (WSN-p)</w:t>
      </w:r>
      <w:r w:rsidRPr="00912BFA">
        <w:rPr>
          <w:rFonts w:ascii="Times New Roman" w:hAnsi="Times New Roman" w:cs="Times New Roman"/>
          <w:sz w:val="20"/>
        </w:rPr>
        <w:t xml:space="preserve"> and sequentially on the same vector (WSN-p) in order to optimize the synergy between </w:t>
      </w:r>
      <w:proofErr w:type="spellStart"/>
      <w:r w:rsidRPr="00912BFA">
        <w:rPr>
          <w:rFonts w:ascii="Times New Roman" w:hAnsi="Times New Roman" w:cs="Times New Roman"/>
          <w:sz w:val="20"/>
        </w:rPr>
        <w:t>cellulase</w:t>
      </w:r>
      <w:proofErr w:type="spellEnd"/>
      <w:r w:rsidRPr="00912BFA">
        <w:rPr>
          <w:rFonts w:ascii="Times New Roman" w:hAnsi="Times New Roman" w:cs="Times New Roman"/>
          <w:sz w:val="20"/>
        </w:rPr>
        <w:t xml:space="preserve"> and BG. The obtained results highlighted that simultaneous immobilization of BG and </w:t>
      </w:r>
      <w:proofErr w:type="spellStart"/>
      <w:r w:rsidRPr="00912BFA">
        <w:rPr>
          <w:rFonts w:ascii="Times New Roman" w:hAnsi="Times New Roman" w:cs="Times New Roman"/>
          <w:sz w:val="20"/>
        </w:rPr>
        <w:t>cellulase</w:t>
      </w:r>
      <w:proofErr w:type="spellEnd"/>
      <w:r w:rsidRPr="00912BFA">
        <w:rPr>
          <w:rFonts w:ascii="Times New Roman" w:hAnsi="Times New Roman" w:cs="Times New Roman"/>
          <w:sz w:val="20"/>
        </w:rPr>
        <w:t xml:space="preserve"> on the same vector (WSN-p) results in the best biocatalyst. In this case, the adsorption resulted in 20% yield of immobilization, corresponding to an enzyme loading of 100 mg/g of support. 82% yield of reaction and 72 </w:t>
      </w:r>
      <w:r>
        <w:rPr>
          <w:rFonts w:ascii="Times New Roman" w:hAnsi="Times New Roman" w:cs="Times New Roman"/>
          <w:sz w:val="20"/>
        </w:rPr>
        <w:t>µ</w:t>
      </w:r>
      <w:proofErr w:type="spellStart"/>
      <w:r w:rsidRPr="00912BFA">
        <w:rPr>
          <w:rFonts w:ascii="Times New Roman" w:hAnsi="Times New Roman" w:cs="Times New Roman"/>
          <w:sz w:val="20"/>
        </w:rPr>
        <w:t>mol</w:t>
      </w:r>
      <w:proofErr w:type="spellEnd"/>
      <w:r w:rsidRPr="00912BFA">
        <w:rPr>
          <w:rFonts w:ascii="Times New Roman" w:hAnsi="Times New Roman" w:cs="Times New Roman"/>
          <w:sz w:val="20"/>
        </w:rPr>
        <w:t>/</w:t>
      </w:r>
      <w:proofErr w:type="spellStart"/>
      <w:r w:rsidRPr="00912BFA">
        <w:rPr>
          <w:rFonts w:ascii="Times New Roman" w:hAnsi="Times New Roman" w:cs="Times New Roman"/>
          <w:sz w:val="20"/>
        </w:rPr>
        <w:t>min∙g</w:t>
      </w:r>
      <w:proofErr w:type="spellEnd"/>
      <w:r w:rsidRPr="00912BFA">
        <w:rPr>
          <w:rFonts w:ascii="Times New Roman" w:hAnsi="Times New Roman" w:cs="Times New Roman"/>
          <w:sz w:val="20"/>
        </w:rPr>
        <w:t xml:space="preserve"> activities were obtained, evaluated for the hydrolysis of cellulose extracted from </w:t>
      </w:r>
      <w:proofErr w:type="spellStart"/>
      <w:r w:rsidRPr="00912BFA">
        <w:rPr>
          <w:rFonts w:ascii="Times New Roman" w:hAnsi="Times New Roman" w:cs="Times New Roman"/>
          <w:i/>
          <w:sz w:val="20"/>
        </w:rPr>
        <w:t>Eriobotrya</w:t>
      </w:r>
      <w:proofErr w:type="spellEnd"/>
      <w:r w:rsidRPr="00912BFA">
        <w:rPr>
          <w:rFonts w:ascii="Times New Roman" w:hAnsi="Times New Roman" w:cs="Times New Roman"/>
          <w:i/>
          <w:sz w:val="20"/>
        </w:rPr>
        <w:t xml:space="preserve"> japonica</w:t>
      </w:r>
      <w:r w:rsidRPr="00912BFA">
        <w:rPr>
          <w:rFonts w:ascii="Times New Roman" w:hAnsi="Times New Roman" w:cs="Times New Roman"/>
          <w:sz w:val="20"/>
        </w:rPr>
        <w:t xml:space="preserve"> leaves. All reactions were carried out at a standard temperature of 50°C. The biocatalyst retained 83% of the initial yield of reaction after 9 cycles of reuse. Moreover, it had better stability than the free enzyme mixture in a wide range of temperatures, preserving 72% of the initial yield of reaction up to 90°C</w:t>
      </w:r>
      <w:r>
        <w:rPr>
          <w:rFonts w:ascii="Times New Roman" w:hAnsi="Times New Roman" w:cs="Times New Roman"/>
          <w:sz w:val="20"/>
        </w:rPr>
        <w:t xml:space="preserve"> [Figure 1]</w:t>
      </w:r>
      <w:r w:rsidRPr="00912BFA">
        <w:rPr>
          <w:rFonts w:ascii="Times New Roman" w:hAnsi="Times New Roman" w:cs="Times New Roman"/>
          <w:sz w:val="20"/>
        </w:rPr>
        <w:t>.</w:t>
      </w:r>
    </w:p>
    <w:p w:rsidR="00912BFA" w:rsidRDefault="00912BFA" w:rsidP="00912BFA">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7E53D7C">
            <wp:extent cx="2554605" cy="1889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54605" cy="1889760"/>
                    </a:xfrm>
                    <a:prstGeom prst="rect">
                      <a:avLst/>
                    </a:prstGeom>
                    <a:noFill/>
                  </pic:spPr>
                </pic:pic>
              </a:graphicData>
            </a:graphic>
          </wp:inline>
        </w:drawing>
      </w:r>
    </w:p>
    <w:p w:rsidR="00912BFA" w:rsidRPr="00912BFA" w:rsidRDefault="00912BFA" w:rsidP="00912BFA">
      <w:pPr>
        <w:jc w:val="center"/>
        <w:rPr>
          <w:rFonts w:ascii="Times New Roman" w:hAnsi="Times New Roman" w:cs="Times New Roman"/>
          <w:i/>
          <w:sz w:val="18"/>
        </w:rPr>
      </w:pPr>
      <w:proofErr w:type="gramStart"/>
      <w:r w:rsidRPr="00912BFA">
        <w:rPr>
          <w:rFonts w:ascii="Times New Roman" w:hAnsi="Times New Roman" w:cs="Times New Roman"/>
          <w:b/>
          <w:i/>
          <w:sz w:val="18"/>
        </w:rPr>
        <w:t>Figure 1.</w:t>
      </w:r>
      <w:proofErr w:type="gramEnd"/>
      <w:r w:rsidRPr="00912BFA">
        <w:rPr>
          <w:rFonts w:ascii="Times New Roman" w:hAnsi="Times New Roman" w:cs="Times New Roman"/>
          <w:i/>
          <w:sz w:val="18"/>
        </w:rPr>
        <w:t xml:space="preserve"> Graphical scheme of the whole process of glucose production from </w:t>
      </w:r>
      <w:proofErr w:type="spellStart"/>
      <w:r w:rsidRPr="00912BFA">
        <w:rPr>
          <w:rFonts w:ascii="Times New Roman" w:hAnsi="Times New Roman" w:cs="Times New Roman"/>
          <w:i/>
          <w:sz w:val="18"/>
        </w:rPr>
        <w:t>lignocellulosic</w:t>
      </w:r>
      <w:proofErr w:type="spellEnd"/>
      <w:r w:rsidRPr="00912BFA">
        <w:rPr>
          <w:rFonts w:ascii="Times New Roman" w:hAnsi="Times New Roman" w:cs="Times New Roman"/>
          <w:i/>
          <w:sz w:val="18"/>
        </w:rPr>
        <w:t xml:space="preserve"> biomass (</w:t>
      </w:r>
      <w:proofErr w:type="spellStart"/>
      <w:r w:rsidRPr="00912BFA">
        <w:rPr>
          <w:rFonts w:ascii="Times New Roman" w:hAnsi="Times New Roman" w:cs="Times New Roman"/>
          <w:i/>
          <w:sz w:val="18"/>
        </w:rPr>
        <w:t>Eriobotrya</w:t>
      </w:r>
      <w:proofErr w:type="spellEnd"/>
      <w:r w:rsidRPr="00912BFA">
        <w:rPr>
          <w:rFonts w:ascii="Times New Roman" w:hAnsi="Times New Roman" w:cs="Times New Roman"/>
          <w:i/>
          <w:sz w:val="18"/>
        </w:rPr>
        <w:t xml:space="preserve"> japonica leaves), highlighting the different strategies followed for enzyme co-immobilization.</w:t>
      </w:r>
    </w:p>
    <w:p w:rsidR="00912BFA" w:rsidRPr="00912BFA" w:rsidRDefault="00912BFA" w:rsidP="00912BFA">
      <w:pPr>
        <w:rPr>
          <w:rFonts w:ascii="Times New Roman" w:hAnsi="Times New Roman" w:cs="Times New Roman"/>
          <w:b/>
          <w:sz w:val="24"/>
        </w:rPr>
      </w:pPr>
      <w:r w:rsidRPr="00912BFA">
        <w:rPr>
          <w:rFonts w:ascii="Times New Roman" w:hAnsi="Times New Roman" w:cs="Times New Roman"/>
          <w:b/>
          <w:sz w:val="24"/>
        </w:rPr>
        <w:t>Biography</w:t>
      </w:r>
    </w:p>
    <w:p w:rsidR="00912BFA" w:rsidRPr="00912BFA" w:rsidRDefault="00912BFA" w:rsidP="00912BFA">
      <w:pPr>
        <w:jc w:val="both"/>
        <w:rPr>
          <w:rFonts w:ascii="Times New Roman" w:hAnsi="Times New Roman" w:cs="Times New Roman"/>
          <w:sz w:val="20"/>
        </w:rPr>
      </w:pPr>
      <w:proofErr w:type="spellStart"/>
      <w:r w:rsidRPr="00912BFA">
        <w:rPr>
          <w:rFonts w:ascii="Times New Roman" w:hAnsi="Times New Roman" w:cs="Times New Roman"/>
          <w:sz w:val="20"/>
        </w:rPr>
        <w:t>Aniello</w:t>
      </w:r>
      <w:proofErr w:type="spellEnd"/>
      <w:r w:rsidRPr="00912BFA">
        <w:rPr>
          <w:rFonts w:ascii="Times New Roman" w:hAnsi="Times New Roman" w:cs="Times New Roman"/>
          <w:sz w:val="20"/>
        </w:rPr>
        <w:t xml:space="preserve"> </w:t>
      </w:r>
      <w:proofErr w:type="spellStart"/>
      <w:r w:rsidRPr="00912BFA">
        <w:rPr>
          <w:rFonts w:ascii="Times New Roman" w:hAnsi="Times New Roman" w:cs="Times New Roman"/>
          <w:sz w:val="20"/>
        </w:rPr>
        <w:t>Costantini</w:t>
      </w:r>
      <w:proofErr w:type="spellEnd"/>
      <w:r w:rsidRPr="00912BFA">
        <w:rPr>
          <w:rFonts w:ascii="Times New Roman" w:hAnsi="Times New Roman" w:cs="Times New Roman"/>
          <w:sz w:val="20"/>
        </w:rPr>
        <w:t xml:space="preserve"> is Professor of Chemistry since December 2004 in the Department of Chemical Engineering, Materials and Industrial Production at the University of Naples Federico II. He received his Master Science (</w:t>
      </w:r>
      <w:proofErr w:type="spellStart"/>
      <w:r w:rsidRPr="00912BFA">
        <w:rPr>
          <w:rFonts w:ascii="Times New Roman" w:hAnsi="Times New Roman" w:cs="Times New Roman"/>
          <w:sz w:val="20"/>
        </w:rPr>
        <w:t>Laurea</w:t>
      </w:r>
      <w:proofErr w:type="spellEnd"/>
      <w:r w:rsidRPr="00912BFA">
        <w:rPr>
          <w:rFonts w:ascii="Times New Roman" w:hAnsi="Times New Roman" w:cs="Times New Roman"/>
          <w:sz w:val="20"/>
        </w:rPr>
        <w:t xml:space="preserve">) in Engineering with full marks and </w:t>
      </w:r>
      <w:proofErr w:type="spellStart"/>
      <w:r w:rsidRPr="00912BFA">
        <w:rPr>
          <w:rFonts w:ascii="Times New Roman" w:hAnsi="Times New Roman" w:cs="Times New Roman"/>
          <w:sz w:val="20"/>
        </w:rPr>
        <w:t>honours</w:t>
      </w:r>
      <w:proofErr w:type="spellEnd"/>
      <w:r w:rsidRPr="00912BFA">
        <w:rPr>
          <w:rFonts w:ascii="Times New Roman" w:hAnsi="Times New Roman" w:cs="Times New Roman"/>
          <w:sz w:val="20"/>
        </w:rPr>
        <w:t xml:space="preserve"> from the University of Naples Federico II. He received his PhD in Materials Engineering from the same University. Until January 2023, he appears as author in more than 111 publications in international high quality peer reviewed journals. His research work has been focused on the synthesis of glasses, ceramics, glass-ceramics and nanostructured hybrids. He is highly skilled in synthesis and </w:t>
      </w:r>
      <w:r w:rsidRPr="00912BFA">
        <w:rPr>
          <w:rFonts w:ascii="Times New Roman" w:hAnsi="Times New Roman" w:cs="Times New Roman"/>
          <w:sz w:val="20"/>
        </w:rPr>
        <w:lastRenderedPageBreak/>
        <w:t xml:space="preserve">functionalization of ceramic nanostructures through sol-gel method. Accurate design of process parameters has been exploited to produce ceramic and hybrid nanostructures, tuning size, shape and surface chemistry to obtain bioactive hybrids and </w:t>
      </w:r>
      <w:proofErr w:type="spellStart"/>
      <w:r w:rsidRPr="00912BFA">
        <w:rPr>
          <w:rFonts w:ascii="Times New Roman" w:hAnsi="Times New Roman" w:cs="Times New Roman"/>
          <w:sz w:val="20"/>
        </w:rPr>
        <w:t>nanocomposites</w:t>
      </w:r>
      <w:proofErr w:type="spellEnd"/>
      <w:r w:rsidRPr="00912BFA">
        <w:rPr>
          <w:rFonts w:ascii="Times New Roman" w:hAnsi="Times New Roman" w:cs="Times New Roman"/>
          <w:sz w:val="20"/>
        </w:rPr>
        <w:t xml:space="preserve">, multifunctional coatings, smart drug delivery carriers, </w:t>
      </w:r>
      <w:proofErr w:type="spellStart"/>
      <w:r w:rsidRPr="00912BFA">
        <w:rPr>
          <w:rFonts w:ascii="Times New Roman" w:hAnsi="Times New Roman" w:cs="Times New Roman"/>
          <w:sz w:val="20"/>
        </w:rPr>
        <w:t>mesoporous</w:t>
      </w:r>
      <w:proofErr w:type="spellEnd"/>
      <w:r w:rsidRPr="00912BFA">
        <w:rPr>
          <w:rFonts w:ascii="Times New Roman" w:hAnsi="Times New Roman" w:cs="Times New Roman"/>
          <w:sz w:val="20"/>
        </w:rPr>
        <w:t xml:space="preserve"> silica materials as supports for enzyme immobilization.</w:t>
      </w:r>
      <w:bookmarkEnd w:id="0"/>
    </w:p>
    <w:sectPr w:rsidR="00912BFA" w:rsidRPr="00912B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BFA"/>
    <w:rsid w:val="00474203"/>
    <w:rsid w:val="00535872"/>
    <w:rsid w:val="00912BFA"/>
    <w:rsid w:val="00924B33"/>
    <w:rsid w:val="00DA03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2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BF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12B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2BF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9707163">
      <w:bodyDiv w:val="1"/>
      <w:marLeft w:val="0"/>
      <w:marRight w:val="0"/>
      <w:marTop w:val="0"/>
      <w:marBottom w:val="0"/>
      <w:divBdr>
        <w:top w:val="none" w:sz="0" w:space="0" w:color="auto"/>
        <w:left w:val="none" w:sz="0" w:space="0" w:color="auto"/>
        <w:bottom w:val="none" w:sz="0" w:space="0" w:color="auto"/>
        <w:right w:val="none" w:sz="0" w:space="0" w:color="auto"/>
      </w:divBdr>
      <w:divsChild>
        <w:div w:id="1091924452">
          <w:marLeft w:val="0"/>
          <w:marRight w:val="0"/>
          <w:marTop w:val="0"/>
          <w:marBottom w:val="60"/>
          <w:divBdr>
            <w:top w:val="none" w:sz="0" w:space="0" w:color="auto"/>
            <w:left w:val="none" w:sz="0" w:space="0" w:color="auto"/>
            <w:bottom w:val="none" w:sz="0" w:space="0" w:color="auto"/>
            <w:right w:val="none" w:sz="0" w:space="0" w:color="auto"/>
          </w:divBdr>
          <w:divsChild>
            <w:div w:id="127017177">
              <w:marLeft w:val="0"/>
              <w:marRight w:val="0"/>
              <w:marTop w:val="0"/>
              <w:marBottom w:val="0"/>
              <w:divBdr>
                <w:top w:val="none" w:sz="0" w:space="0" w:color="auto"/>
                <w:left w:val="none" w:sz="0" w:space="0" w:color="auto"/>
                <w:bottom w:val="none" w:sz="0" w:space="0" w:color="auto"/>
                <w:right w:val="none" w:sz="0" w:space="0" w:color="auto"/>
              </w:divBdr>
              <w:divsChild>
                <w:div w:id="648216636">
                  <w:marLeft w:val="0"/>
                  <w:marRight w:val="0"/>
                  <w:marTop w:val="0"/>
                  <w:marBottom w:val="0"/>
                  <w:divBdr>
                    <w:top w:val="none" w:sz="0" w:space="0" w:color="auto"/>
                    <w:left w:val="none" w:sz="0" w:space="0" w:color="auto"/>
                    <w:bottom w:val="none" w:sz="0" w:space="0" w:color="auto"/>
                    <w:right w:val="none" w:sz="0" w:space="0" w:color="auto"/>
                  </w:divBdr>
                  <w:divsChild>
                    <w:div w:id="1495416145">
                      <w:marLeft w:val="0"/>
                      <w:marRight w:val="150"/>
                      <w:marTop w:val="30"/>
                      <w:marBottom w:val="0"/>
                      <w:divBdr>
                        <w:top w:val="none" w:sz="0" w:space="0" w:color="auto"/>
                        <w:left w:val="none" w:sz="0" w:space="0" w:color="auto"/>
                        <w:bottom w:val="none" w:sz="0" w:space="0" w:color="auto"/>
                        <w:right w:val="none" w:sz="0" w:space="0" w:color="auto"/>
                      </w:divBdr>
                      <w:divsChild>
                        <w:div w:id="1956671301">
                          <w:marLeft w:val="0"/>
                          <w:marRight w:val="0"/>
                          <w:marTop w:val="0"/>
                          <w:marBottom w:val="0"/>
                          <w:divBdr>
                            <w:top w:val="none" w:sz="0" w:space="0" w:color="auto"/>
                            <w:left w:val="none" w:sz="0" w:space="0" w:color="auto"/>
                            <w:bottom w:val="none" w:sz="0" w:space="0" w:color="auto"/>
                            <w:right w:val="none" w:sz="0" w:space="0" w:color="auto"/>
                          </w:divBdr>
                        </w:div>
                      </w:divsChild>
                    </w:div>
                    <w:div w:id="1228498132">
                      <w:marLeft w:val="0"/>
                      <w:marRight w:val="150"/>
                      <w:marTop w:val="30"/>
                      <w:marBottom w:val="0"/>
                      <w:divBdr>
                        <w:top w:val="none" w:sz="0" w:space="0" w:color="auto"/>
                        <w:left w:val="none" w:sz="0" w:space="0" w:color="auto"/>
                        <w:bottom w:val="none" w:sz="0" w:space="0" w:color="auto"/>
                        <w:right w:val="none" w:sz="0" w:space="0" w:color="auto"/>
                      </w:divBdr>
                      <w:divsChild>
                        <w:div w:id="151652428">
                          <w:marLeft w:val="0"/>
                          <w:marRight w:val="0"/>
                          <w:marTop w:val="0"/>
                          <w:marBottom w:val="0"/>
                          <w:divBdr>
                            <w:top w:val="none" w:sz="0" w:space="0" w:color="auto"/>
                            <w:left w:val="none" w:sz="0" w:space="0" w:color="auto"/>
                            <w:bottom w:val="none" w:sz="0" w:space="0" w:color="auto"/>
                            <w:right w:val="none" w:sz="0" w:space="0" w:color="auto"/>
                          </w:divBdr>
                        </w:div>
                      </w:divsChild>
                    </w:div>
                    <w:div w:id="2087725566">
                      <w:marLeft w:val="0"/>
                      <w:marRight w:val="0"/>
                      <w:marTop w:val="0"/>
                      <w:marBottom w:val="0"/>
                      <w:divBdr>
                        <w:top w:val="none" w:sz="0" w:space="0" w:color="auto"/>
                        <w:left w:val="none" w:sz="0" w:space="0" w:color="auto"/>
                        <w:bottom w:val="none" w:sz="0" w:space="0" w:color="auto"/>
                        <w:right w:val="none" w:sz="0" w:space="0" w:color="auto"/>
                      </w:divBdr>
                      <w:divsChild>
                        <w:div w:id="1018194233">
                          <w:marLeft w:val="0"/>
                          <w:marRight w:val="0"/>
                          <w:marTop w:val="0"/>
                          <w:marBottom w:val="0"/>
                          <w:divBdr>
                            <w:top w:val="none" w:sz="0" w:space="0" w:color="auto"/>
                            <w:left w:val="none" w:sz="0" w:space="0" w:color="auto"/>
                            <w:bottom w:val="none" w:sz="0" w:space="0" w:color="auto"/>
                            <w:right w:val="none" w:sz="0" w:space="0" w:color="auto"/>
                          </w:divBdr>
                          <w:divsChild>
                            <w:div w:id="109401596">
                              <w:marLeft w:val="0"/>
                              <w:marRight w:val="0"/>
                              <w:marTop w:val="0"/>
                              <w:marBottom w:val="0"/>
                              <w:divBdr>
                                <w:top w:val="none" w:sz="0" w:space="0" w:color="auto"/>
                                <w:left w:val="none" w:sz="0" w:space="0" w:color="auto"/>
                                <w:bottom w:val="none" w:sz="0" w:space="0" w:color="auto"/>
                                <w:right w:val="none" w:sz="0" w:space="0" w:color="auto"/>
                              </w:divBdr>
                              <w:divsChild>
                                <w:div w:id="792595076">
                                  <w:marLeft w:val="0"/>
                                  <w:marRight w:val="0"/>
                                  <w:marTop w:val="0"/>
                                  <w:marBottom w:val="0"/>
                                  <w:divBdr>
                                    <w:top w:val="none" w:sz="0" w:space="0" w:color="auto"/>
                                    <w:left w:val="none" w:sz="0" w:space="0" w:color="auto"/>
                                    <w:bottom w:val="none" w:sz="0" w:space="0" w:color="auto"/>
                                    <w:right w:val="none" w:sz="0" w:space="0" w:color="auto"/>
                                  </w:divBdr>
                                  <w:divsChild>
                                    <w:div w:id="482432170">
                                      <w:marLeft w:val="360"/>
                                      <w:marRight w:val="360"/>
                                      <w:marTop w:val="360"/>
                                      <w:marBottom w:val="360"/>
                                      <w:divBdr>
                                        <w:top w:val="none" w:sz="0" w:space="0" w:color="auto"/>
                                        <w:left w:val="none" w:sz="0" w:space="0" w:color="auto"/>
                                        <w:bottom w:val="none" w:sz="0" w:space="0" w:color="auto"/>
                                        <w:right w:val="none" w:sz="0" w:space="0" w:color="auto"/>
                                      </w:divBdr>
                                      <w:divsChild>
                                        <w:div w:id="117980661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295482201">
                          <w:marLeft w:val="0"/>
                          <w:marRight w:val="0"/>
                          <w:marTop w:val="0"/>
                          <w:marBottom w:val="0"/>
                          <w:divBdr>
                            <w:top w:val="none" w:sz="0" w:space="0" w:color="auto"/>
                            <w:left w:val="none" w:sz="0" w:space="0" w:color="auto"/>
                            <w:bottom w:val="none" w:sz="0" w:space="0" w:color="auto"/>
                            <w:right w:val="none" w:sz="0" w:space="0" w:color="auto"/>
                          </w:divBdr>
                        </w:div>
                      </w:divsChild>
                    </w:div>
                    <w:div w:id="1252084128">
                      <w:marLeft w:val="0"/>
                      <w:marRight w:val="150"/>
                      <w:marTop w:val="30"/>
                      <w:marBottom w:val="0"/>
                      <w:divBdr>
                        <w:top w:val="none" w:sz="0" w:space="0" w:color="auto"/>
                        <w:left w:val="none" w:sz="0" w:space="0" w:color="auto"/>
                        <w:bottom w:val="none" w:sz="0" w:space="0" w:color="auto"/>
                        <w:right w:val="none" w:sz="0" w:space="0" w:color="auto"/>
                      </w:divBdr>
                      <w:divsChild>
                        <w:div w:id="2135512686">
                          <w:marLeft w:val="0"/>
                          <w:marRight w:val="0"/>
                          <w:marTop w:val="0"/>
                          <w:marBottom w:val="0"/>
                          <w:divBdr>
                            <w:top w:val="none" w:sz="0" w:space="0" w:color="auto"/>
                            <w:left w:val="none" w:sz="0" w:space="0" w:color="auto"/>
                            <w:bottom w:val="none" w:sz="0" w:space="0" w:color="auto"/>
                            <w:right w:val="none" w:sz="0" w:space="0" w:color="auto"/>
                          </w:divBdr>
                          <w:divsChild>
                            <w:div w:id="2029019092">
                              <w:marLeft w:val="0"/>
                              <w:marRight w:val="0"/>
                              <w:marTop w:val="30"/>
                              <w:marBottom w:val="30"/>
                              <w:divBdr>
                                <w:top w:val="single" w:sz="6" w:space="0" w:color="DADCE0"/>
                                <w:left w:val="single" w:sz="6" w:space="6" w:color="DADCE0"/>
                                <w:bottom w:val="single" w:sz="6" w:space="0" w:color="DADCE0"/>
                                <w:right w:val="single" w:sz="6" w:space="6" w:color="DADCE0"/>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449</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2023-01-11T05:19:00Z</dcterms:created>
  <dcterms:modified xsi:type="dcterms:W3CDTF">2023-01-11T05:32:00Z</dcterms:modified>
</cp:coreProperties>
</file>