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21FCA">
      <w:pPr>
        <w:rPr>
          <w:rFonts w:ascii="Times New Roman" w:hAnsi="Times New Roman" w:cs="Times New Roman"/>
          <w:b/>
          <w:sz w:val="32"/>
        </w:rPr>
      </w:pPr>
      <w:bookmarkStart w:id="0" w:name="_GoBack"/>
      <w:r w:rsidRPr="00A21FCA">
        <w:rPr>
          <w:rFonts w:ascii="Times New Roman" w:hAnsi="Times New Roman" w:cs="Times New Roman"/>
          <w:b/>
          <w:sz w:val="32"/>
        </w:rPr>
        <w:t xml:space="preserve">The association between intravenous solutions induced </w:t>
      </w:r>
      <w:proofErr w:type="spellStart"/>
      <w:r w:rsidRPr="00A21FCA">
        <w:rPr>
          <w:rFonts w:ascii="Times New Roman" w:hAnsi="Times New Roman" w:cs="Times New Roman"/>
          <w:b/>
          <w:sz w:val="32"/>
        </w:rPr>
        <w:t>hyperchloremia</w:t>
      </w:r>
      <w:proofErr w:type="spellEnd"/>
      <w:r w:rsidRPr="00A21FCA">
        <w:rPr>
          <w:rFonts w:ascii="Times New Roman" w:hAnsi="Times New Roman" w:cs="Times New Roman"/>
          <w:b/>
          <w:sz w:val="32"/>
        </w:rPr>
        <w:t>, metabolic acidosis and new or progressive acute kidney injury among pediatric patients with diabetic ketoacidosis</w:t>
      </w:r>
      <w:r>
        <w:rPr>
          <w:rFonts w:ascii="Times New Roman" w:hAnsi="Times New Roman" w:cs="Times New Roman"/>
          <w:b/>
          <w:sz w:val="32"/>
        </w:rPr>
        <w:t>:</w:t>
      </w:r>
      <w:r w:rsidRPr="00A21FCA">
        <w:rPr>
          <w:rFonts w:ascii="Times New Roman" w:hAnsi="Times New Roman" w:cs="Times New Roman"/>
          <w:b/>
          <w:sz w:val="32"/>
        </w:rPr>
        <w:t xml:space="preserve"> A retrospective cohort study</w:t>
      </w:r>
    </w:p>
    <w:p w:rsidR="00A21FCA" w:rsidRDefault="00A21FCA">
      <w:pPr>
        <w:rPr>
          <w:rFonts w:ascii="Times New Roman" w:hAnsi="Times New Roman" w:cs="Times New Roman"/>
          <w:sz w:val="24"/>
        </w:rPr>
      </w:pPr>
      <w:r w:rsidRPr="00A21FCA">
        <w:rPr>
          <w:rFonts w:ascii="Times New Roman" w:hAnsi="Times New Roman" w:cs="Times New Roman"/>
          <w:sz w:val="24"/>
        </w:rPr>
        <w:t xml:space="preserve">Joan Christine S. </w:t>
      </w:r>
      <w:proofErr w:type="spellStart"/>
      <w:r w:rsidRPr="00A21FCA">
        <w:rPr>
          <w:rFonts w:ascii="Times New Roman" w:hAnsi="Times New Roman" w:cs="Times New Roman"/>
          <w:sz w:val="24"/>
        </w:rPr>
        <w:t>Guina</w:t>
      </w:r>
      <w:proofErr w:type="spellEnd"/>
    </w:p>
    <w:p w:rsidR="00A21FCA" w:rsidRPr="00A21FCA" w:rsidRDefault="00A21FCA">
      <w:pPr>
        <w:rPr>
          <w:rFonts w:ascii="Times New Roman" w:hAnsi="Times New Roman" w:cs="Times New Roman"/>
        </w:rPr>
      </w:pPr>
      <w:r w:rsidRPr="00A21FCA">
        <w:rPr>
          <w:rFonts w:ascii="Times New Roman" w:hAnsi="Times New Roman" w:cs="Times New Roman"/>
        </w:rPr>
        <w:t>DPPS Philippine Children’s Medical Center, Philippines</w:t>
      </w:r>
    </w:p>
    <w:p w:rsidR="00A21FCA" w:rsidRPr="00A21FCA" w:rsidRDefault="00A21FCA" w:rsidP="00A21FCA">
      <w:pPr>
        <w:jc w:val="center"/>
        <w:rPr>
          <w:rFonts w:ascii="Times New Roman" w:hAnsi="Times New Roman" w:cs="Times New Roman"/>
          <w:b/>
          <w:sz w:val="24"/>
        </w:rPr>
      </w:pPr>
      <w:r w:rsidRPr="00A21FCA">
        <w:rPr>
          <w:rFonts w:ascii="Times New Roman" w:hAnsi="Times New Roman" w:cs="Times New Roman"/>
          <w:b/>
          <w:sz w:val="24"/>
        </w:rPr>
        <w:t>Abstract</w:t>
      </w:r>
    </w:p>
    <w:p w:rsidR="00A21FCA" w:rsidRPr="00A21FCA" w:rsidRDefault="00A21FCA" w:rsidP="00A21FCA">
      <w:pPr>
        <w:jc w:val="both"/>
        <w:rPr>
          <w:rFonts w:ascii="Times New Roman" w:hAnsi="Times New Roman" w:cs="Times New Roman"/>
          <w:sz w:val="20"/>
        </w:rPr>
      </w:pPr>
      <w:r w:rsidRPr="00A21FCA">
        <w:rPr>
          <w:rFonts w:ascii="Times New Roman" w:hAnsi="Times New Roman" w:cs="Times New Roman"/>
          <w:b/>
          <w:sz w:val="20"/>
        </w:rPr>
        <w:t>Statement of the problem:</w:t>
      </w:r>
      <w:r w:rsidRPr="00A21FCA">
        <w:rPr>
          <w:rFonts w:ascii="Times New Roman" w:hAnsi="Times New Roman" w:cs="Times New Roman"/>
          <w:sz w:val="20"/>
        </w:rPr>
        <w:t xml:space="preserve"> Diabetic Ketoacidosis (DKA) requires immediate fluid resuscitation. Excessive administration of high chloride containing IV fluids can cause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w:t>
      </w:r>
      <w:r w:rsidR="008F6EA0">
        <w:rPr>
          <w:rFonts w:ascii="Times New Roman" w:hAnsi="Times New Roman" w:cs="Times New Roman"/>
          <w:sz w:val="20"/>
        </w:rPr>
        <w:t xml:space="preserve"> </w:t>
      </w:r>
      <w:r w:rsidRPr="00A21FCA">
        <w:rPr>
          <w:rFonts w:ascii="Times New Roman" w:hAnsi="Times New Roman" w:cs="Times New Roman"/>
          <w:sz w:val="20"/>
        </w:rPr>
        <w:t xml:space="preserve">Currently, there is scarcity of data associating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 xml:space="preserve"> with </w:t>
      </w:r>
      <w:r w:rsidRPr="00A21FCA">
        <w:rPr>
          <w:rFonts w:ascii="Times New Roman" w:hAnsi="Times New Roman" w:cs="Times New Roman"/>
          <w:sz w:val="20"/>
        </w:rPr>
        <w:t xml:space="preserve">Acute Kidney Injury </w:t>
      </w:r>
      <w:r w:rsidRPr="00A21FCA">
        <w:rPr>
          <w:rFonts w:ascii="Times New Roman" w:hAnsi="Times New Roman" w:cs="Times New Roman"/>
          <w:sz w:val="20"/>
        </w:rPr>
        <w:t xml:space="preserve">(AKI) and prolonged metabolic acidosis among children with DKA. This study aimed to investigate the association between intravenous </w:t>
      </w:r>
      <w:r w:rsidR="00E969F3" w:rsidRPr="00A21FCA">
        <w:rPr>
          <w:rFonts w:ascii="Times New Roman" w:hAnsi="Times New Roman" w:cs="Times New Roman"/>
          <w:sz w:val="20"/>
        </w:rPr>
        <w:t>solutions</w:t>
      </w:r>
      <w:r w:rsidRPr="00A21FCA">
        <w:rPr>
          <w:rFonts w:ascii="Times New Roman" w:hAnsi="Times New Roman" w:cs="Times New Roman"/>
          <w:sz w:val="20"/>
        </w:rPr>
        <w:t xml:space="preserve"> induced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 xml:space="preserve">, metabolic acidosis and AKI among DKA patients. </w:t>
      </w:r>
    </w:p>
    <w:p w:rsidR="00A21FCA" w:rsidRPr="00A21FCA" w:rsidRDefault="00A21FCA" w:rsidP="00A21FCA">
      <w:pPr>
        <w:jc w:val="both"/>
        <w:rPr>
          <w:rFonts w:ascii="Times New Roman" w:hAnsi="Times New Roman" w:cs="Times New Roman"/>
          <w:sz w:val="20"/>
        </w:rPr>
      </w:pPr>
      <w:r w:rsidRPr="00A21FCA">
        <w:rPr>
          <w:rFonts w:ascii="Times New Roman" w:hAnsi="Times New Roman" w:cs="Times New Roman"/>
          <w:b/>
          <w:sz w:val="20"/>
        </w:rPr>
        <w:t>Methodology:</w:t>
      </w:r>
      <w:r w:rsidRPr="00A21FCA">
        <w:rPr>
          <w:rFonts w:ascii="Times New Roman" w:hAnsi="Times New Roman" w:cs="Times New Roman"/>
          <w:sz w:val="20"/>
        </w:rPr>
        <w:t xml:space="preserve"> This is a retrospective cohort study among cases of Diabetic Ketoacidosis. The serum chloride levels were </w:t>
      </w:r>
      <w:r w:rsidRPr="00A21FCA">
        <w:rPr>
          <w:rFonts w:ascii="Times New Roman" w:hAnsi="Times New Roman" w:cs="Times New Roman"/>
          <w:sz w:val="20"/>
        </w:rPr>
        <w:t>reviewed;</w:t>
      </w:r>
      <w:r w:rsidRPr="00A21FCA">
        <w:rPr>
          <w:rFonts w:ascii="Times New Roman" w:hAnsi="Times New Roman" w:cs="Times New Roman"/>
          <w:sz w:val="20"/>
        </w:rPr>
        <w:t xml:space="preserve"> the total chloride infused was computed and compared per time interval by repeated measures ANOVA. </w:t>
      </w:r>
      <w:proofErr w:type="spellStart"/>
      <w:r w:rsidRPr="00A21FCA">
        <w:rPr>
          <w:rFonts w:ascii="Times New Roman" w:hAnsi="Times New Roman" w:cs="Times New Roman"/>
          <w:sz w:val="20"/>
        </w:rPr>
        <w:t>Hyperchloremic</w:t>
      </w:r>
      <w:proofErr w:type="spellEnd"/>
      <w:r w:rsidRPr="00A21FCA">
        <w:rPr>
          <w:rFonts w:ascii="Times New Roman" w:hAnsi="Times New Roman" w:cs="Times New Roman"/>
          <w:sz w:val="20"/>
        </w:rPr>
        <w:t xml:space="preserve"> cases were determined and were analyzed for the occurrence and association with acute kidney injury using Fisher exact test. The serum chloride, total chloride infused, total fluid input and urine output among those with and without AKI were evaluated.</w:t>
      </w:r>
      <w:r w:rsidR="008F6EA0">
        <w:rPr>
          <w:rFonts w:ascii="Times New Roman" w:hAnsi="Times New Roman" w:cs="Times New Roman"/>
          <w:sz w:val="20"/>
        </w:rPr>
        <w:t xml:space="preserve"> </w:t>
      </w:r>
      <w:r w:rsidRPr="00A21FCA">
        <w:rPr>
          <w:rFonts w:ascii="Times New Roman" w:hAnsi="Times New Roman" w:cs="Times New Roman"/>
          <w:sz w:val="20"/>
        </w:rPr>
        <w:t xml:space="preserve">The length of DKA resolution was compared among the </w:t>
      </w:r>
      <w:proofErr w:type="spellStart"/>
      <w:r w:rsidRPr="00A21FCA">
        <w:rPr>
          <w:rFonts w:ascii="Times New Roman" w:hAnsi="Times New Roman" w:cs="Times New Roman"/>
          <w:sz w:val="20"/>
        </w:rPr>
        <w:t>hyperchloremic</w:t>
      </w:r>
      <w:proofErr w:type="spellEnd"/>
      <w:r w:rsidRPr="00A21FCA">
        <w:rPr>
          <w:rFonts w:ascii="Times New Roman" w:hAnsi="Times New Roman" w:cs="Times New Roman"/>
          <w:sz w:val="20"/>
        </w:rPr>
        <w:t xml:space="preserve"> and non-</w:t>
      </w:r>
      <w:proofErr w:type="spellStart"/>
      <w:r w:rsidRPr="00A21FCA">
        <w:rPr>
          <w:rFonts w:ascii="Times New Roman" w:hAnsi="Times New Roman" w:cs="Times New Roman"/>
          <w:sz w:val="20"/>
        </w:rPr>
        <w:t>hyperchloremic</w:t>
      </w:r>
      <w:proofErr w:type="spellEnd"/>
      <w:r w:rsidRPr="00A21FCA">
        <w:rPr>
          <w:rFonts w:ascii="Times New Roman" w:hAnsi="Times New Roman" w:cs="Times New Roman"/>
          <w:sz w:val="20"/>
        </w:rPr>
        <w:t xml:space="preserve"> group. </w:t>
      </w:r>
    </w:p>
    <w:p w:rsidR="00A21FCA" w:rsidRDefault="00A21FCA" w:rsidP="00A21FCA">
      <w:pPr>
        <w:jc w:val="both"/>
        <w:rPr>
          <w:rFonts w:ascii="Times New Roman" w:hAnsi="Times New Roman" w:cs="Times New Roman"/>
          <w:sz w:val="20"/>
        </w:rPr>
      </w:pPr>
      <w:r w:rsidRPr="00A21FCA">
        <w:rPr>
          <w:rFonts w:ascii="Times New Roman" w:hAnsi="Times New Roman" w:cs="Times New Roman"/>
          <w:b/>
          <w:sz w:val="20"/>
        </w:rPr>
        <w:t>Results:</w:t>
      </w:r>
      <w:r w:rsidRPr="00A21FCA">
        <w:rPr>
          <w:rFonts w:ascii="Times New Roman" w:hAnsi="Times New Roman" w:cs="Times New Roman"/>
          <w:sz w:val="20"/>
        </w:rPr>
        <w:t xml:space="preserve"> There were 167 eligible cases of DKA. 158 (94.6%) of these developed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 xml:space="preserve"> and 36 (21%) had AKI. The association between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 xml:space="preserve"> and AKI is not statistically significant (P=0.21) but a significant decreased in urine output among the cases was proven (P=0.008). The length of DKA resolution by closure of anion gap has an average of 21.29 ±</w:t>
      </w:r>
      <w:r>
        <w:rPr>
          <w:rFonts w:ascii="Times New Roman" w:hAnsi="Times New Roman" w:cs="Times New Roman"/>
          <w:sz w:val="20"/>
        </w:rPr>
        <w:t xml:space="preserve"> 13.95</w:t>
      </w:r>
      <w:r w:rsidRPr="00A21FCA">
        <w:rPr>
          <w:rFonts w:ascii="Times New Roman" w:hAnsi="Times New Roman" w:cs="Times New Roman"/>
          <w:sz w:val="20"/>
        </w:rPr>
        <w:t xml:space="preserve"> hours while the rise of pH has 25.51 ±</w:t>
      </w:r>
      <w:r>
        <w:rPr>
          <w:rFonts w:ascii="Times New Roman" w:hAnsi="Times New Roman" w:cs="Times New Roman"/>
          <w:sz w:val="20"/>
        </w:rPr>
        <w:t xml:space="preserve"> </w:t>
      </w:r>
      <w:r w:rsidRPr="00A21FCA">
        <w:rPr>
          <w:rFonts w:ascii="Times New Roman" w:hAnsi="Times New Roman" w:cs="Times New Roman"/>
          <w:sz w:val="20"/>
        </w:rPr>
        <w:t xml:space="preserve">14.77 hours and </w:t>
      </w:r>
      <w:r>
        <w:rPr>
          <w:rFonts w:ascii="Times New Roman" w:hAnsi="Times New Roman" w:cs="Times New Roman"/>
          <w:sz w:val="20"/>
        </w:rPr>
        <w:t xml:space="preserve">29.7 </w:t>
      </w:r>
      <w:r w:rsidRPr="00A21FCA">
        <w:rPr>
          <w:rFonts w:ascii="Times New Roman" w:hAnsi="Times New Roman" w:cs="Times New Roman"/>
          <w:sz w:val="20"/>
        </w:rPr>
        <w:t>±</w:t>
      </w:r>
      <w:r>
        <w:rPr>
          <w:rFonts w:ascii="Times New Roman" w:hAnsi="Times New Roman" w:cs="Times New Roman"/>
          <w:sz w:val="20"/>
        </w:rPr>
        <w:t xml:space="preserve"> </w:t>
      </w:r>
      <w:r w:rsidRPr="00A21FCA">
        <w:rPr>
          <w:rFonts w:ascii="Times New Roman" w:hAnsi="Times New Roman" w:cs="Times New Roman"/>
          <w:sz w:val="20"/>
        </w:rPr>
        <w:t>14.89 hours for HCO</w:t>
      </w:r>
      <w:r w:rsidRPr="00A21FCA">
        <w:rPr>
          <w:rFonts w:ascii="Times New Roman" w:hAnsi="Times New Roman" w:cs="Times New Roman"/>
          <w:sz w:val="20"/>
          <w:vertAlign w:val="subscript"/>
        </w:rPr>
        <w:t>3</w:t>
      </w:r>
      <w:r w:rsidRPr="00A21FCA">
        <w:rPr>
          <w:rFonts w:ascii="Times New Roman" w:hAnsi="Times New Roman" w:cs="Times New Roman"/>
          <w:sz w:val="20"/>
        </w:rPr>
        <w:t xml:space="preserve"> level (Figure 1). </w:t>
      </w:r>
      <w:proofErr w:type="spellStart"/>
      <w:r w:rsidRPr="00A21FCA">
        <w:rPr>
          <w:rFonts w:ascii="Times New Roman" w:hAnsi="Times New Roman" w:cs="Times New Roman"/>
          <w:sz w:val="20"/>
        </w:rPr>
        <w:t>Hyperchloremic</w:t>
      </w:r>
      <w:proofErr w:type="spellEnd"/>
      <w:r w:rsidRPr="00A21FCA">
        <w:rPr>
          <w:rFonts w:ascii="Times New Roman" w:hAnsi="Times New Roman" w:cs="Times New Roman"/>
          <w:sz w:val="20"/>
        </w:rPr>
        <w:t xml:space="preserve"> group has longer durat</w:t>
      </w:r>
      <w:r>
        <w:rPr>
          <w:rFonts w:ascii="Times New Roman" w:hAnsi="Times New Roman" w:cs="Times New Roman"/>
          <w:sz w:val="20"/>
        </w:rPr>
        <w:t>ion of DKA resolution by pH (P=0.0281) and bicarbonate (P=</w:t>
      </w:r>
      <w:r w:rsidRPr="00A21FCA">
        <w:rPr>
          <w:rFonts w:ascii="Times New Roman" w:hAnsi="Times New Roman" w:cs="Times New Roman"/>
          <w:sz w:val="20"/>
        </w:rPr>
        <w:t>0.0080) while no statistical difference was noted for the closure of anion gap between the two groups.</w:t>
      </w:r>
      <w:r w:rsidR="008F6EA0">
        <w:rPr>
          <w:rFonts w:ascii="Times New Roman" w:hAnsi="Times New Roman" w:cs="Times New Roman"/>
          <w:sz w:val="20"/>
        </w:rPr>
        <w:t xml:space="preserve"> </w:t>
      </w:r>
    </w:p>
    <w:p w:rsidR="00A21FCA" w:rsidRDefault="008F03BA" w:rsidP="00A21FCA">
      <w:pPr>
        <w:jc w:val="center"/>
        <w:rPr>
          <w:rFonts w:ascii="Times New Roman" w:hAnsi="Times New Roman" w:cs="Times New Roman"/>
          <w:sz w:val="20"/>
        </w:rPr>
      </w:pPr>
      <w:r>
        <w:rPr>
          <w:rFonts w:ascii="Times New Roman" w:hAnsi="Times New Roman" w:cs="Times New Roman"/>
          <w:noProof/>
          <w:sz w:val="20"/>
        </w:rPr>
        <w:drawing>
          <wp:inline distT="0" distB="0" distL="0" distR="0">
            <wp:extent cx="4349115" cy="1654175"/>
            <wp:effectExtent l="0" t="0" r="0" b="3175"/>
            <wp:docPr id="2" name="Picture 2" descr="C:\Users\swetha-s\Downloads\SWETHA\January 2023\19-01-2023\Nephrologist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January 2023\19-01-2023\Nephrologists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9115" cy="1654175"/>
                    </a:xfrm>
                    <a:prstGeom prst="rect">
                      <a:avLst/>
                    </a:prstGeom>
                    <a:noFill/>
                    <a:ln>
                      <a:noFill/>
                    </a:ln>
                  </pic:spPr>
                </pic:pic>
              </a:graphicData>
            </a:graphic>
          </wp:inline>
        </w:drawing>
      </w:r>
    </w:p>
    <w:p w:rsidR="00A21FCA" w:rsidRPr="00A21FCA" w:rsidRDefault="00A21FCA" w:rsidP="00A21FCA">
      <w:pPr>
        <w:jc w:val="center"/>
        <w:rPr>
          <w:rFonts w:ascii="Times New Roman" w:hAnsi="Times New Roman" w:cs="Times New Roman"/>
          <w:i/>
          <w:sz w:val="18"/>
        </w:rPr>
      </w:pPr>
      <w:proofErr w:type="gramStart"/>
      <w:r w:rsidRPr="00A21FCA">
        <w:rPr>
          <w:rFonts w:ascii="Times New Roman" w:hAnsi="Times New Roman" w:cs="Times New Roman"/>
          <w:b/>
          <w:i/>
          <w:sz w:val="18"/>
        </w:rPr>
        <w:t>Figure 1.</w:t>
      </w:r>
      <w:proofErr w:type="gramEnd"/>
      <w:r w:rsidRPr="00A21FCA">
        <w:rPr>
          <w:rFonts w:ascii="Times New Roman" w:hAnsi="Times New Roman" w:cs="Times New Roman"/>
          <w:i/>
          <w:sz w:val="18"/>
        </w:rPr>
        <w:t xml:space="preserve"> Comparison of mean serum chloride, mean total chloride infused, mean total IV input and mean urine output at different time intervals among </w:t>
      </w:r>
      <w:proofErr w:type="spellStart"/>
      <w:r w:rsidRPr="00A21FCA">
        <w:rPr>
          <w:rFonts w:ascii="Times New Roman" w:hAnsi="Times New Roman" w:cs="Times New Roman"/>
          <w:i/>
          <w:sz w:val="18"/>
        </w:rPr>
        <w:t>hyperchloremic</w:t>
      </w:r>
      <w:proofErr w:type="spellEnd"/>
      <w:r w:rsidRPr="00A21FCA">
        <w:rPr>
          <w:rFonts w:ascii="Times New Roman" w:hAnsi="Times New Roman" w:cs="Times New Roman"/>
          <w:i/>
          <w:sz w:val="18"/>
        </w:rPr>
        <w:t xml:space="preserve"> and non-</w:t>
      </w:r>
      <w:proofErr w:type="spellStart"/>
      <w:r w:rsidRPr="00A21FCA">
        <w:rPr>
          <w:rFonts w:ascii="Times New Roman" w:hAnsi="Times New Roman" w:cs="Times New Roman"/>
          <w:i/>
          <w:sz w:val="18"/>
        </w:rPr>
        <w:t>hyperchloremic</w:t>
      </w:r>
      <w:proofErr w:type="spellEnd"/>
      <w:r w:rsidRPr="00A21FCA">
        <w:rPr>
          <w:rFonts w:ascii="Times New Roman" w:hAnsi="Times New Roman" w:cs="Times New Roman"/>
          <w:i/>
          <w:sz w:val="18"/>
        </w:rPr>
        <w:t xml:space="preserve"> group. </w:t>
      </w:r>
      <w:proofErr w:type="gramStart"/>
      <w:r w:rsidRPr="00A21FCA">
        <w:rPr>
          <w:rFonts w:ascii="Times New Roman" w:hAnsi="Times New Roman" w:cs="Times New Roman"/>
          <w:i/>
          <w:sz w:val="18"/>
        </w:rPr>
        <w:t>Comparison of length of DKA resolution by pH, HCO</w:t>
      </w:r>
      <w:r w:rsidRPr="00A21FCA">
        <w:rPr>
          <w:rFonts w:ascii="Times New Roman" w:hAnsi="Times New Roman" w:cs="Times New Roman"/>
          <w:i/>
          <w:sz w:val="18"/>
          <w:vertAlign w:val="subscript"/>
        </w:rPr>
        <w:t>3</w:t>
      </w:r>
      <w:r w:rsidRPr="00A21FCA">
        <w:rPr>
          <w:rFonts w:ascii="Times New Roman" w:hAnsi="Times New Roman" w:cs="Times New Roman"/>
          <w:i/>
          <w:sz w:val="18"/>
        </w:rPr>
        <w:t xml:space="preserve"> and closure of anion gap among </w:t>
      </w:r>
      <w:proofErr w:type="spellStart"/>
      <w:r w:rsidRPr="00A21FCA">
        <w:rPr>
          <w:rFonts w:ascii="Times New Roman" w:hAnsi="Times New Roman" w:cs="Times New Roman"/>
          <w:i/>
          <w:sz w:val="18"/>
        </w:rPr>
        <w:t>Hyperchloremic</w:t>
      </w:r>
      <w:proofErr w:type="spellEnd"/>
      <w:r w:rsidRPr="00A21FCA">
        <w:rPr>
          <w:rFonts w:ascii="Times New Roman" w:hAnsi="Times New Roman" w:cs="Times New Roman"/>
          <w:i/>
          <w:sz w:val="18"/>
        </w:rPr>
        <w:t xml:space="preserve"> and non-</w:t>
      </w:r>
      <w:proofErr w:type="spellStart"/>
      <w:r w:rsidRPr="00A21FCA">
        <w:rPr>
          <w:rFonts w:ascii="Times New Roman" w:hAnsi="Times New Roman" w:cs="Times New Roman"/>
          <w:i/>
          <w:sz w:val="18"/>
        </w:rPr>
        <w:t>hyperchloremic</w:t>
      </w:r>
      <w:proofErr w:type="spellEnd"/>
      <w:r w:rsidRPr="00A21FCA">
        <w:rPr>
          <w:rFonts w:ascii="Times New Roman" w:hAnsi="Times New Roman" w:cs="Times New Roman"/>
          <w:i/>
          <w:sz w:val="18"/>
        </w:rPr>
        <w:t xml:space="preserve"> group.</w:t>
      </w:r>
      <w:proofErr w:type="gramEnd"/>
    </w:p>
    <w:p w:rsidR="00A21FCA" w:rsidRDefault="00A21FCA" w:rsidP="00A21FCA">
      <w:pPr>
        <w:jc w:val="both"/>
        <w:rPr>
          <w:rFonts w:ascii="Times New Roman" w:hAnsi="Times New Roman" w:cs="Times New Roman"/>
          <w:sz w:val="20"/>
        </w:rPr>
      </w:pPr>
      <w:r w:rsidRPr="00A21FCA">
        <w:rPr>
          <w:rFonts w:ascii="Times New Roman" w:hAnsi="Times New Roman" w:cs="Times New Roman"/>
          <w:b/>
          <w:sz w:val="20"/>
        </w:rPr>
        <w:lastRenderedPageBreak/>
        <w:t>Conclusion:</w:t>
      </w:r>
      <w:r w:rsidRPr="00A21FCA">
        <w:rPr>
          <w:rFonts w:ascii="Times New Roman" w:hAnsi="Times New Roman" w:cs="Times New Roman"/>
          <w:sz w:val="20"/>
        </w:rPr>
        <w:t xml:space="preserve">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 xml:space="preserve"> (95%) is common during fluid resuscitation. It causes prolonged metabolic acidosis and decreased urine output which leads to acute kidney injury. Recommendation: Lower chloride containing solutions must be used to prevent </w:t>
      </w:r>
      <w:proofErr w:type="spellStart"/>
      <w:r w:rsidRPr="00A21FCA">
        <w:rPr>
          <w:rFonts w:ascii="Times New Roman" w:hAnsi="Times New Roman" w:cs="Times New Roman"/>
          <w:sz w:val="20"/>
        </w:rPr>
        <w:t>hyperchloremia</w:t>
      </w:r>
      <w:proofErr w:type="spellEnd"/>
      <w:r w:rsidRPr="00A21FCA">
        <w:rPr>
          <w:rFonts w:ascii="Times New Roman" w:hAnsi="Times New Roman" w:cs="Times New Roman"/>
          <w:sz w:val="20"/>
        </w:rPr>
        <w:t xml:space="preserve"> especially in the critically ill to prevent its adverse effect.</w:t>
      </w:r>
    </w:p>
    <w:p w:rsidR="004176B0" w:rsidRPr="004176B0" w:rsidRDefault="004176B0" w:rsidP="004176B0">
      <w:pPr>
        <w:rPr>
          <w:rFonts w:ascii="Times New Roman" w:hAnsi="Times New Roman" w:cs="Times New Roman"/>
          <w:b/>
          <w:sz w:val="24"/>
        </w:rPr>
      </w:pPr>
      <w:r w:rsidRPr="004176B0">
        <w:rPr>
          <w:rFonts w:ascii="Times New Roman" w:hAnsi="Times New Roman" w:cs="Times New Roman"/>
          <w:b/>
          <w:sz w:val="24"/>
        </w:rPr>
        <w:t xml:space="preserve">Biography </w:t>
      </w:r>
    </w:p>
    <w:p w:rsidR="00A21FCA" w:rsidRPr="00A21FCA" w:rsidRDefault="004176B0" w:rsidP="004176B0">
      <w:pPr>
        <w:jc w:val="both"/>
        <w:rPr>
          <w:rFonts w:ascii="Times New Roman" w:hAnsi="Times New Roman" w:cs="Times New Roman"/>
          <w:sz w:val="20"/>
        </w:rPr>
      </w:pPr>
      <w:r w:rsidRPr="004176B0">
        <w:rPr>
          <w:rFonts w:ascii="Times New Roman" w:hAnsi="Times New Roman" w:cs="Times New Roman"/>
          <w:sz w:val="20"/>
        </w:rPr>
        <w:t xml:space="preserve">Joan Christine </w:t>
      </w:r>
      <w:proofErr w:type="spellStart"/>
      <w:r w:rsidRPr="004176B0">
        <w:rPr>
          <w:rFonts w:ascii="Times New Roman" w:hAnsi="Times New Roman" w:cs="Times New Roman"/>
          <w:sz w:val="20"/>
        </w:rPr>
        <w:t>Guina</w:t>
      </w:r>
      <w:proofErr w:type="spellEnd"/>
      <w:r w:rsidRPr="004176B0">
        <w:rPr>
          <w:rFonts w:ascii="Times New Roman" w:hAnsi="Times New Roman" w:cs="Times New Roman"/>
          <w:sz w:val="20"/>
        </w:rPr>
        <w:t xml:space="preserve"> is a General Pediatrician who opted to undergo training in Pediatric Nephrology. She is now a </w:t>
      </w:r>
      <w:proofErr w:type="spellStart"/>
      <w:r w:rsidRPr="004176B0">
        <w:rPr>
          <w:rFonts w:ascii="Times New Roman" w:hAnsi="Times New Roman" w:cs="Times New Roman"/>
          <w:sz w:val="20"/>
        </w:rPr>
        <w:t>diplomate</w:t>
      </w:r>
      <w:proofErr w:type="spellEnd"/>
      <w:r w:rsidRPr="004176B0">
        <w:rPr>
          <w:rFonts w:ascii="Times New Roman" w:hAnsi="Times New Roman" w:cs="Times New Roman"/>
          <w:sz w:val="20"/>
        </w:rPr>
        <w:t xml:space="preserve"> and has recently started practicing as a Pediatric Nephrologist in the Philippines. She has always aimed to improve the health care delivery in their community and hopes to reach the underserved children with kidney diseases.</w:t>
      </w:r>
      <w:bookmarkEnd w:id="0"/>
    </w:p>
    <w:sectPr w:rsidR="00A21FCA" w:rsidRPr="00A21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FCA"/>
    <w:rsid w:val="003630E3"/>
    <w:rsid w:val="004176B0"/>
    <w:rsid w:val="00474203"/>
    <w:rsid w:val="00500227"/>
    <w:rsid w:val="00535872"/>
    <w:rsid w:val="008F03BA"/>
    <w:rsid w:val="008F6EA0"/>
    <w:rsid w:val="00924B33"/>
    <w:rsid w:val="00A21FCA"/>
    <w:rsid w:val="00E96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1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F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1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F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2023-01-19T08:59:00Z</dcterms:created>
  <dcterms:modified xsi:type="dcterms:W3CDTF">2023-01-19T09:32:00Z</dcterms:modified>
</cp:coreProperties>
</file>