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232BA">
      <w:pPr>
        <w:rPr>
          <w:rFonts w:ascii="Times New Roman" w:hAnsi="Times New Roman" w:cs="Times New Roman"/>
          <w:b/>
          <w:sz w:val="32"/>
        </w:rPr>
      </w:pPr>
      <w:r w:rsidRPr="007232BA">
        <w:rPr>
          <w:rFonts w:ascii="Times New Roman" w:hAnsi="Times New Roman" w:cs="Times New Roman"/>
          <w:b/>
          <w:sz w:val="32"/>
        </w:rPr>
        <w:t xml:space="preserve">From the flowers into the honeys; Pollen and mineral content of four </w:t>
      </w:r>
      <w:proofErr w:type="spellStart"/>
      <w:r w:rsidRPr="007232BA">
        <w:rPr>
          <w:rFonts w:ascii="Times New Roman" w:hAnsi="Times New Roman" w:cs="Times New Roman"/>
          <w:b/>
          <w:sz w:val="32"/>
        </w:rPr>
        <w:t>unifloral</w:t>
      </w:r>
      <w:proofErr w:type="spellEnd"/>
      <w:r w:rsidRPr="007232BA">
        <w:rPr>
          <w:rFonts w:ascii="Times New Roman" w:hAnsi="Times New Roman" w:cs="Times New Roman"/>
          <w:b/>
          <w:sz w:val="32"/>
        </w:rPr>
        <w:t xml:space="preserve"> Hungarian honeys</w:t>
      </w:r>
    </w:p>
    <w:p w:rsidR="007232BA" w:rsidRDefault="007232BA">
      <w:pPr>
        <w:rPr>
          <w:rFonts w:ascii="Times New Roman" w:hAnsi="Times New Roman" w:cs="Times New Roman"/>
          <w:sz w:val="24"/>
        </w:rPr>
      </w:pPr>
      <w:r w:rsidRPr="007232BA">
        <w:rPr>
          <w:rFonts w:ascii="Times New Roman" w:hAnsi="Times New Roman" w:cs="Times New Roman"/>
          <w:sz w:val="24"/>
        </w:rPr>
        <w:t xml:space="preserve">Marianna </w:t>
      </w:r>
      <w:proofErr w:type="spellStart"/>
      <w:r w:rsidRPr="007232BA">
        <w:rPr>
          <w:rFonts w:ascii="Times New Roman" w:hAnsi="Times New Roman" w:cs="Times New Roman"/>
          <w:sz w:val="24"/>
        </w:rPr>
        <w:t>Kocsis</w:t>
      </w:r>
      <w:proofErr w:type="spellEnd"/>
      <w:r>
        <w:rPr>
          <w:rFonts w:ascii="Times New Roman" w:hAnsi="Times New Roman" w:cs="Times New Roman"/>
          <w:sz w:val="24"/>
        </w:rPr>
        <w:t>*</w:t>
      </w:r>
      <w:r w:rsidRPr="007232BA">
        <w:rPr>
          <w:rFonts w:ascii="Times New Roman" w:hAnsi="Times New Roman" w:cs="Times New Roman"/>
          <w:sz w:val="24"/>
        </w:rPr>
        <w:t xml:space="preserve">, </w:t>
      </w:r>
      <w:proofErr w:type="spellStart"/>
      <w:r w:rsidRPr="007232BA">
        <w:rPr>
          <w:rFonts w:ascii="Times New Roman" w:hAnsi="Times New Roman" w:cs="Times New Roman"/>
          <w:sz w:val="24"/>
        </w:rPr>
        <w:t>Katalin</w:t>
      </w:r>
      <w:proofErr w:type="spellEnd"/>
      <w:r w:rsidRPr="007232BA">
        <w:rPr>
          <w:rFonts w:ascii="Times New Roman" w:hAnsi="Times New Roman" w:cs="Times New Roman"/>
          <w:sz w:val="24"/>
        </w:rPr>
        <w:t xml:space="preserve"> J. </w:t>
      </w:r>
      <w:proofErr w:type="spellStart"/>
      <w:r w:rsidRPr="007232BA">
        <w:rPr>
          <w:rFonts w:ascii="Times New Roman" w:hAnsi="Times New Roman" w:cs="Times New Roman"/>
          <w:sz w:val="24"/>
        </w:rPr>
        <w:t>Csetneki</w:t>
      </w:r>
      <w:proofErr w:type="spellEnd"/>
      <w:r w:rsidRPr="007232BA">
        <w:rPr>
          <w:rFonts w:ascii="Times New Roman" w:hAnsi="Times New Roman" w:cs="Times New Roman"/>
          <w:sz w:val="24"/>
        </w:rPr>
        <w:t xml:space="preserve">, </w:t>
      </w:r>
      <w:proofErr w:type="spellStart"/>
      <w:r w:rsidRPr="007232BA">
        <w:rPr>
          <w:rFonts w:ascii="Times New Roman" w:hAnsi="Times New Roman" w:cs="Times New Roman"/>
          <w:sz w:val="24"/>
        </w:rPr>
        <w:t>Mariann</w:t>
      </w:r>
      <w:proofErr w:type="spellEnd"/>
      <w:r w:rsidRPr="007232BA">
        <w:rPr>
          <w:rFonts w:ascii="Times New Roman" w:hAnsi="Times New Roman" w:cs="Times New Roman"/>
          <w:sz w:val="24"/>
        </w:rPr>
        <w:t xml:space="preserve"> </w:t>
      </w:r>
      <w:proofErr w:type="spellStart"/>
      <w:r w:rsidRPr="007232BA">
        <w:rPr>
          <w:rFonts w:ascii="Times New Roman" w:hAnsi="Times New Roman" w:cs="Times New Roman"/>
          <w:sz w:val="24"/>
        </w:rPr>
        <w:t>Merics</w:t>
      </w:r>
      <w:proofErr w:type="spellEnd"/>
      <w:r w:rsidRPr="007232BA">
        <w:rPr>
          <w:rFonts w:ascii="Times New Roman" w:hAnsi="Times New Roman" w:cs="Times New Roman"/>
          <w:sz w:val="24"/>
        </w:rPr>
        <w:t xml:space="preserve">, </w:t>
      </w:r>
      <w:proofErr w:type="spellStart"/>
      <w:r w:rsidRPr="007232BA">
        <w:rPr>
          <w:rFonts w:ascii="Times New Roman" w:hAnsi="Times New Roman" w:cs="Times New Roman"/>
          <w:sz w:val="24"/>
        </w:rPr>
        <w:t>Kriszti</w:t>
      </w:r>
      <w:r>
        <w:rPr>
          <w:rFonts w:ascii="Times New Roman" w:hAnsi="Times New Roman" w:cs="Times New Roman"/>
          <w:sz w:val="24"/>
        </w:rPr>
        <w:t>a</w:t>
      </w:r>
      <w:r w:rsidRPr="007232BA">
        <w:rPr>
          <w:rFonts w:ascii="Times New Roman" w:hAnsi="Times New Roman" w:cs="Times New Roman"/>
          <w:sz w:val="24"/>
        </w:rPr>
        <w:t>n</w:t>
      </w:r>
      <w:proofErr w:type="spellEnd"/>
      <w:r w:rsidRPr="007232BA">
        <w:rPr>
          <w:rFonts w:ascii="Times New Roman" w:hAnsi="Times New Roman" w:cs="Times New Roman"/>
          <w:sz w:val="24"/>
        </w:rPr>
        <w:t xml:space="preserve"> </w:t>
      </w:r>
      <w:proofErr w:type="spellStart"/>
      <w:r w:rsidRPr="007232BA">
        <w:rPr>
          <w:rFonts w:ascii="Times New Roman" w:hAnsi="Times New Roman" w:cs="Times New Roman"/>
          <w:sz w:val="24"/>
        </w:rPr>
        <w:t>Ga</w:t>
      </w:r>
      <w:r>
        <w:rPr>
          <w:rFonts w:ascii="Times New Roman" w:hAnsi="Times New Roman" w:cs="Times New Roman"/>
          <w:sz w:val="24"/>
        </w:rPr>
        <w:t>a</w:t>
      </w:r>
      <w:r w:rsidRPr="007232BA">
        <w:rPr>
          <w:rFonts w:ascii="Times New Roman" w:hAnsi="Times New Roman" w:cs="Times New Roman"/>
          <w:sz w:val="24"/>
        </w:rPr>
        <w:t>l</w:t>
      </w:r>
      <w:proofErr w:type="spellEnd"/>
      <w:r w:rsidRPr="007232BA">
        <w:rPr>
          <w:rFonts w:ascii="Times New Roman" w:hAnsi="Times New Roman" w:cs="Times New Roman"/>
          <w:sz w:val="24"/>
        </w:rPr>
        <w:t xml:space="preserve"> and </w:t>
      </w:r>
      <w:r>
        <w:rPr>
          <w:rFonts w:ascii="Times New Roman" w:hAnsi="Times New Roman" w:cs="Times New Roman"/>
          <w:sz w:val="24"/>
        </w:rPr>
        <w:t>A</w:t>
      </w:r>
      <w:r w:rsidRPr="007232BA">
        <w:rPr>
          <w:rFonts w:ascii="Times New Roman" w:hAnsi="Times New Roman" w:cs="Times New Roman"/>
          <w:sz w:val="24"/>
        </w:rPr>
        <w:t xml:space="preserve">gnes </w:t>
      </w:r>
      <w:proofErr w:type="spellStart"/>
      <w:r w:rsidRPr="007232BA">
        <w:rPr>
          <w:rFonts w:ascii="Times New Roman" w:hAnsi="Times New Roman" w:cs="Times New Roman"/>
          <w:sz w:val="24"/>
        </w:rPr>
        <w:t>Farkas</w:t>
      </w:r>
      <w:proofErr w:type="spellEnd"/>
    </w:p>
    <w:p w:rsidR="007232BA" w:rsidRPr="007232BA" w:rsidRDefault="007232BA">
      <w:pPr>
        <w:rPr>
          <w:rFonts w:ascii="Times New Roman" w:hAnsi="Times New Roman" w:cs="Times New Roman"/>
        </w:rPr>
      </w:pPr>
      <w:r w:rsidRPr="007232BA">
        <w:rPr>
          <w:rFonts w:ascii="Times New Roman" w:hAnsi="Times New Roman" w:cs="Times New Roman"/>
        </w:rPr>
        <w:t xml:space="preserve">University of </w:t>
      </w:r>
      <w:proofErr w:type="spellStart"/>
      <w:r w:rsidRPr="007232BA">
        <w:rPr>
          <w:rFonts w:ascii="Times New Roman" w:hAnsi="Times New Roman" w:cs="Times New Roman"/>
        </w:rPr>
        <w:t>Pecs</w:t>
      </w:r>
      <w:proofErr w:type="spellEnd"/>
      <w:r w:rsidRPr="007232BA">
        <w:rPr>
          <w:rFonts w:ascii="Times New Roman" w:hAnsi="Times New Roman" w:cs="Times New Roman"/>
        </w:rPr>
        <w:t>, Hungary</w:t>
      </w:r>
    </w:p>
    <w:p w:rsidR="007232BA" w:rsidRPr="007232BA" w:rsidRDefault="007232BA" w:rsidP="007232BA">
      <w:pPr>
        <w:jc w:val="center"/>
        <w:rPr>
          <w:rFonts w:ascii="Times New Roman" w:hAnsi="Times New Roman" w:cs="Times New Roman"/>
          <w:b/>
          <w:sz w:val="24"/>
        </w:rPr>
      </w:pPr>
      <w:r w:rsidRPr="007232BA">
        <w:rPr>
          <w:rFonts w:ascii="Times New Roman" w:hAnsi="Times New Roman" w:cs="Times New Roman"/>
          <w:b/>
          <w:sz w:val="24"/>
        </w:rPr>
        <w:t>Abstract</w:t>
      </w:r>
    </w:p>
    <w:p w:rsidR="007232BA" w:rsidRPr="007232BA" w:rsidRDefault="007232BA" w:rsidP="007232BA">
      <w:pPr>
        <w:jc w:val="both"/>
        <w:rPr>
          <w:rFonts w:ascii="Times New Roman" w:hAnsi="Times New Roman" w:cs="Times New Roman"/>
          <w:sz w:val="20"/>
        </w:rPr>
      </w:pPr>
      <w:r w:rsidRPr="007232BA">
        <w:rPr>
          <w:rFonts w:ascii="Times New Roman" w:hAnsi="Times New Roman" w:cs="Times New Roman"/>
          <w:b/>
          <w:sz w:val="20"/>
        </w:rPr>
        <w:t xml:space="preserve">Statement of the </w:t>
      </w:r>
      <w:r w:rsidRPr="007232BA">
        <w:rPr>
          <w:rFonts w:ascii="Times New Roman" w:hAnsi="Times New Roman" w:cs="Times New Roman"/>
          <w:b/>
          <w:sz w:val="20"/>
        </w:rPr>
        <w:t>problem</w:t>
      </w:r>
      <w:r w:rsidRPr="007232BA">
        <w:rPr>
          <w:rFonts w:ascii="Times New Roman" w:hAnsi="Times New Roman" w:cs="Times New Roman"/>
          <w:b/>
          <w:sz w:val="20"/>
        </w:rPr>
        <w:t>:</w:t>
      </w:r>
      <w:r w:rsidRPr="007232BA">
        <w:rPr>
          <w:rFonts w:ascii="Times New Roman" w:hAnsi="Times New Roman" w:cs="Times New Roman"/>
          <w:sz w:val="20"/>
        </w:rPr>
        <w:t xml:space="preserve"> Honey is a complex food, which has played an important role in human nutrition and medicine since ancient times. Its main nutritional constituents are carbohydrates; while proteins, minerals and polyphenols are present in low amounts. Some of the proteins originate from the plant source’s pollen, which can be used as a reliable indicator of honey’s floral or</w:t>
      </w:r>
      <w:bookmarkStart w:id="0" w:name="_GoBack"/>
      <w:bookmarkEnd w:id="0"/>
      <w:r w:rsidRPr="007232BA">
        <w:rPr>
          <w:rFonts w:ascii="Times New Roman" w:hAnsi="Times New Roman" w:cs="Times New Roman"/>
          <w:sz w:val="20"/>
        </w:rPr>
        <w:t xml:space="preserve">igin. Other plant derived </w:t>
      </w:r>
      <w:r w:rsidR="00CD7091">
        <w:rPr>
          <w:rFonts w:ascii="Times New Roman" w:hAnsi="Times New Roman" w:cs="Times New Roman"/>
          <w:sz w:val="20"/>
        </w:rPr>
        <w:t>constituents of honey are macro</w:t>
      </w:r>
      <w:r w:rsidRPr="007232BA">
        <w:rPr>
          <w:rFonts w:ascii="Times New Roman" w:hAnsi="Times New Roman" w:cs="Times New Roman"/>
          <w:sz w:val="20"/>
        </w:rPr>
        <w:t xml:space="preserve"> and micro</w:t>
      </w:r>
      <w:r w:rsidR="00CD7091">
        <w:rPr>
          <w:rFonts w:ascii="Times New Roman" w:hAnsi="Times New Roman" w:cs="Times New Roman"/>
          <w:sz w:val="20"/>
        </w:rPr>
        <w:t xml:space="preserve"> </w:t>
      </w:r>
      <w:r w:rsidRPr="007232BA">
        <w:rPr>
          <w:rFonts w:ascii="Times New Roman" w:hAnsi="Times New Roman" w:cs="Times New Roman"/>
          <w:sz w:val="20"/>
        </w:rPr>
        <w:t xml:space="preserve">minerals. Although they are minor components, they contribute to the specific nutritional value of honeys and can help discriminate </w:t>
      </w:r>
      <w:proofErr w:type="spellStart"/>
      <w:r w:rsidRPr="007232BA">
        <w:rPr>
          <w:rFonts w:ascii="Times New Roman" w:hAnsi="Times New Roman" w:cs="Times New Roman"/>
          <w:sz w:val="20"/>
        </w:rPr>
        <w:t>unifloral</w:t>
      </w:r>
      <w:proofErr w:type="spellEnd"/>
      <w:r w:rsidRPr="007232BA">
        <w:rPr>
          <w:rFonts w:ascii="Times New Roman" w:hAnsi="Times New Roman" w:cs="Times New Roman"/>
          <w:sz w:val="20"/>
        </w:rPr>
        <w:t xml:space="preserve"> honeys. Hungary is one of the biggest honey produ</w:t>
      </w:r>
      <w:r w:rsidR="00CD7091">
        <w:rPr>
          <w:rFonts w:ascii="Times New Roman" w:hAnsi="Times New Roman" w:cs="Times New Roman"/>
          <w:sz w:val="20"/>
        </w:rPr>
        <w:t xml:space="preserve">cers in the EU with several </w:t>
      </w:r>
      <w:proofErr w:type="spellStart"/>
      <w:r w:rsidR="00CD7091">
        <w:rPr>
          <w:rFonts w:ascii="Times New Roman" w:hAnsi="Times New Roman" w:cs="Times New Roman"/>
          <w:sz w:val="20"/>
        </w:rPr>
        <w:t>uni</w:t>
      </w:r>
      <w:proofErr w:type="spellEnd"/>
      <w:r w:rsidRPr="007232BA">
        <w:rPr>
          <w:rFonts w:ascii="Times New Roman" w:hAnsi="Times New Roman" w:cs="Times New Roman"/>
          <w:sz w:val="20"/>
        </w:rPr>
        <w:t xml:space="preserve"> and multi</w:t>
      </w:r>
      <w:r w:rsidR="00CD7091">
        <w:rPr>
          <w:rFonts w:ascii="Times New Roman" w:hAnsi="Times New Roman" w:cs="Times New Roman"/>
          <w:sz w:val="20"/>
        </w:rPr>
        <w:t xml:space="preserve"> </w:t>
      </w:r>
      <w:r w:rsidRPr="007232BA">
        <w:rPr>
          <w:rFonts w:ascii="Times New Roman" w:hAnsi="Times New Roman" w:cs="Times New Roman"/>
          <w:sz w:val="20"/>
        </w:rPr>
        <w:t xml:space="preserve">floral </w:t>
      </w:r>
      <w:r w:rsidR="00CD7091" w:rsidRPr="007232BA">
        <w:rPr>
          <w:rFonts w:ascii="Times New Roman" w:hAnsi="Times New Roman" w:cs="Times New Roman"/>
          <w:sz w:val="20"/>
        </w:rPr>
        <w:t>honeys;</w:t>
      </w:r>
      <w:r w:rsidRPr="007232BA">
        <w:rPr>
          <w:rFonts w:ascii="Times New Roman" w:hAnsi="Times New Roman" w:cs="Times New Roman"/>
          <w:sz w:val="20"/>
        </w:rPr>
        <w:t xml:space="preserve"> however, there is little information on their quality parameters. The aim of this study was to examine the pollen and mineral composition of four Hungarian honey types, in order to find their distinctive characters and to establish the unique nutritional value of each honey type. </w:t>
      </w:r>
    </w:p>
    <w:p w:rsidR="007232BA" w:rsidRPr="007232BA" w:rsidRDefault="007232BA" w:rsidP="007232BA">
      <w:pPr>
        <w:jc w:val="both"/>
        <w:rPr>
          <w:rFonts w:ascii="Times New Roman" w:hAnsi="Times New Roman" w:cs="Times New Roman"/>
          <w:sz w:val="20"/>
        </w:rPr>
      </w:pPr>
      <w:r w:rsidRPr="007232BA">
        <w:rPr>
          <w:rFonts w:ascii="Times New Roman" w:hAnsi="Times New Roman" w:cs="Times New Roman"/>
          <w:b/>
          <w:sz w:val="20"/>
        </w:rPr>
        <w:t xml:space="preserve">Methodology &amp; </w:t>
      </w:r>
      <w:r w:rsidRPr="007232BA">
        <w:rPr>
          <w:rFonts w:ascii="Times New Roman" w:hAnsi="Times New Roman" w:cs="Times New Roman"/>
          <w:b/>
          <w:sz w:val="20"/>
        </w:rPr>
        <w:t>theoretical orientation</w:t>
      </w:r>
      <w:r w:rsidRPr="007232BA">
        <w:rPr>
          <w:rFonts w:ascii="Times New Roman" w:hAnsi="Times New Roman" w:cs="Times New Roman"/>
          <w:b/>
          <w:sz w:val="20"/>
        </w:rPr>
        <w:t>:</w:t>
      </w:r>
      <w:r w:rsidRPr="007232BA">
        <w:rPr>
          <w:rFonts w:ascii="Times New Roman" w:hAnsi="Times New Roman" w:cs="Times New Roman"/>
          <w:sz w:val="20"/>
        </w:rPr>
        <w:t xml:space="preserve"> Samples included acacia (</w:t>
      </w:r>
      <w:proofErr w:type="spellStart"/>
      <w:r w:rsidRPr="007232BA">
        <w:rPr>
          <w:rFonts w:ascii="Times New Roman" w:hAnsi="Times New Roman" w:cs="Times New Roman"/>
          <w:i/>
          <w:sz w:val="20"/>
        </w:rPr>
        <w:t>Robinia</w:t>
      </w:r>
      <w:proofErr w:type="spellEnd"/>
      <w:r w:rsidRPr="007232BA">
        <w:rPr>
          <w:rFonts w:ascii="Times New Roman" w:hAnsi="Times New Roman" w:cs="Times New Roman"/>
          <w:i/>
          <w:sz w:val="20"/>
        </w:rPr>
        <w:t xml:space="preserve"> </w:t>
      </w:r>
      <w:proofErr w:type="spellStart"/>
      <w:r w:rsidRPr="007232BA">
        <w:rPr>
          <w:rFonts w:ascii="Times New Roman" w:hAnsi="Times New Roman" w:cs="Times New Roman"/>
          <w:i/>
          <w:sz w:val="20"/>
        </w:rPr>
        <w:t>pseudoacacia</w:t>
      </w:r>
      <w:proofErr w:type="spellEnd"/>
      <w:r w:rsidRPr="007232BA">
        <w:rPr>
          <w:rFonts w:ascii="Times New Roman" w:hAnsi="Times New Roman" w:cs="Times New Roman"/>
          <w:sz w:val="20"/>
        </w:rPr>
        <w:t>), linden (</w:t>
      </w:r>
      <w:proofErr w:type="spellStart"/>
      <w:r w:rsidRPr="007232BA">
        <w:rPr>
          <w:rFonts w:ascii="Times New Roman" w:hAnsi="Times New Roman" w:cs="Times New Roman"/>
          <w:i/>
          <w:sz w:val="20"/>
        </w:rPr>
        <w:t>Tilia</w:t>
      </w:r>
      <w:proofErr w:type="spellEnd"/>
      <w:r w:rsidRPr="007232BA">
        <w:rPr>
          <w:rFonts w:ascii="Times New Roman" w:hAnsi="Times New Roman" w:cs="Times New Roman"/>
          <w:sz w:val="20"/>
        </w:rPr>
        <w:t xml:space="preserve"> ssp.), chestnut (</w:t>
      </w:r>
      <w:proofErr w:type="spellStart"/>
      <w:r w:rsidRPr="007232BA">
        <w:rPr>
          <w:rFonts w:ascii="Times New Roman" w:hAnsi="Times New Roman" w:cs="Times New Roman"/>
          <w:i/>
          <w:sz w:val="20"/>
        </w:rPr>
        <w:t>Castanea</w:t>
      </w:r>
      <w:proofErr w:type="spellEnd"/>
      <w:r w:rsidRPr="007232BA">
        <w:rPr>
          <w:rFonts w:ascii="Times New Roman" w:hAnsi="Times New Roman" w:cs="Times New Roman"/>
          <w:i/>
          <w:sz w:val="20"/>
        </w:rPr>
        <w:t xml:space="preserve"> sativa</w:t>
      </w:r>
      <w:r w:rsidRPr="007232BA">
        <w:rPr>
          <w:rFonts w:ascii="Times New Roman" w:hAnsi="Times New Roman" w:cs="Times New Roman"/>
          <w:sz w:val="20"/>
        </w:rPr>
        <w:t>) and sunflower (</w:t>
      </w:r>
      <w:r w:rsidRPr="007232BA">
        <w:rPr>
          <w:rFonts w:ascii="Times New Roman" w:hAnsi="Times New Roman" w:cs="Times New Roman"/>
          <w:i/>
          <w:sz w:val="20"/>
        </w:rPr>
        <w:t xml:space="preserve">Helianthus </w:t>
      </w:r>
      <w:proofErr w:type="spellStart"/>
      <w:r w:rsidRPr="007232BA">
        <w:rPr>
          <w:rFonts w:ascii="Times New Roman" w:hAnsi="Times New Roman" w:cs="Times New Roman"/>
          <w:i/>
          <w:sz w:val="20"/>
        </w:rPr>
        <w:t>annuus</w:t>
      </w:r>
      <w:proofErr w:type="spellEnd"/>
      <w:r w:rsidRPr="007232BA">
        <w:rPr>
          <w:rFonts w:ascii="Times New Roman" w:hAnsi="Times New Roman" w:cs="Times New Roman"/>
          <w:sz w:val="20"/>
        </w:rPr>
        <w:t>) honeys. Their botanical origin was established by sensory characteristics, microscopic pollen analysis and spectrophotome</w:t>
      </w:r>
      <w:r w:rsidR="00CD7091">
        <w:rPr>
          <w:rFonts w:ascii="Times New Roman" w:hAnsi="Times New Roman" w:cs="Times New Roman"/>
          <w:sz w:val="20"/>
        </w:rPr>
        <w:t>tric color determination. Macro</w:t>
      </w:r>
      <w:r w:rsidRPr="007232BA">
        <w:rPr>
          <w:rFonts w:ascii="Times New Roman" w:hAnsi="Times New Roman" w:cs="Times New Roman"/>
          <w:sz w:val="20"/>
        </w:rPr>
        <w:t xml:space="preserve"> (K, </w:t>
      </w:r>
      <w:proofErr w:type="spellStart"/>
      <w:r w:rsidRPr="007232BA">
        <w:rPr>
          <w:rFonts w:ascii="Times New Roman" w:hAnsi="Times New Roman" w:cs="Times New Roman"/>
          <w:sz w:val="20"/>
        </w:rPr>
        <w:t>Ca</w:t>
      </w:r>
      <w:proofErr w:type="spellEnd"/>
      <w:r w:rsidRPr="007232BA">
        <w:rPr>
          <w:rFonts w:ascii="Times New Roman" w:hAnsi="Times New Roman" w:cs="Times New Roman"/>
          <w:sz w:val="20"/>
        </w:rPr>
        <w:t xml:space="preserve">, P, S, </w:t>
      </w:r>
      <w:proofErr w:type="gramStart"/>
      <w:r w:rsidRPr="007232BA">
        <w:rPr>
          <w:rFonts w:ascii="Times New Roman" w:hAnsi="Times New Roman" w:cs="Times New Roman"/>
          <w:sz w:val="20"/>
        </w:rPr>
        <w:t>Mg</w:t>
      </w:r>
      <w:proofErr w:type="gramEnd"/>
      <w:r w:rsidRPr="007232BA">
        <w:rPr>
          <w:rFonts w:ascii="Times New Roman" w:hAnsi="Times New Roman" w:cs="Times New Roman"/>
          <w:sz w:val="20"/>
        </w:rPr>
        <w:t xml:space="preserve">) and microelement (B, Cu, Fe, </w:t>
      </w:r>
      <w:proofErr w:type="spellStart"/>
      <w:r w:rsidRPr="007232BA">
        <w:rPr>
          <w:rFonts w:ascii="Times New Roman" w:hAnsi="Times New Roman" w:cs="Times New Roman"/>
          <w:sz w:val="20"/>
        </w:rPr>
        <w:t>Mn</w:t>
      </w:r>
      <w:proofErr w:type="spellEnd"/>
      <w:r w:rsidRPr="007232BA">
        <w:rPr>
          <w:rFonts w:ascii="Times New Roman" w:hAnsi="Times New Roman" w:cs="Times New Roman"/>
          <w:sz w:val="20"/>
        </w:rPr>
        <w:t xml:space="preserve">, Zn) content was derived from ICP-AES measurements. </w:t>
      </w:r>
    </w:p>
    <w:p w:rsidR="007232BA" w:rsidRDefault="007232BA" w:rsidP="007232BA">
      <w:pPr>
        <w:jc w:val="both"/>
        <w:rPr>
          <w:rFonts w:ascii="Times New Roman" w:hAnsi="Times New Roman" w:cs="Times New Roman"/>
          <w:sz w:val="20"/>
        </w:rPr>
      </w:pPr>
      <w:r w:rsidRPr="007232BA">
        <w:rPr>
          <w:rFonts w:ascii="Times New Roman" w:hAnsi="Times New Roman" w:cs="Times New Roman"/>
          <w:b/>
          <w:sz w:val="20"/>
        </w:rPr>
        <w:t>Findings:</w:t>
      </w:r>
      <w:r w:rsidRPr="007232BA">
        <w:rPr>
          <w:rFonts w:ascii="Times New Roman" w:hAnsi="Times New Roman" w:cs="Times New Roman"/>
          <w:sz w:val="20"/>
        </w:rPr>
        <w:t xml:space="preserve"> The results of the </w:t>
      </w:r>
      <w:proofErr w:type="spellStart"/>
      <w:r w:rsidRPr="007232BA">
        <w:rPr>
          <w:rFonts w:ascii="Times New Roman" w:hAnsi="Times New Roman" w:cs="Times New Roman"/>
          <w:sz w:val="20"/>
        </w:rPr>
        <w:t>melissopalynological</w:t>
      </w:r>
      <w:proofErr w:type="spellEnd"/>
      <w:r w:rsidRPr="007232BA">
        <w:rPr>
          <w:rFonts w:ascii="Times New Roman" w:hAnsi="Times New Roman" w:cs="Times New Roman"/>
          <w:sz w:val="20"/>
        </w:rPr>
        <w:t xml:space="preserve"> analysis confirmed that each honey type was </w:t>
      </w:r>
      <w:proofErr w:type="spellStart"/>
      <w:r w:rsidRPr="007232BA">
        <w:rPr>
          <w:rFonts w:ascii="Times New Roman" w:hAnsi="Times New Roman" w:cs="Times New Roman"/>
          <w:sz w:val="20"/>
        </w:rPr>
        <w:t>unifloral</w:t>
      </w:r>
      <w:proofErr w:type="spellEnd"/>
      <w:r w:rsidRPr="007232BA">
        <w:rPr>
          <w:rFonts w:ascii="Times New Roman" w:hAnsi="Times New Roman" w:cs="Times New Roman"/>
          <w:sz w:val="20"/>
        </w:rPr>
        <w:t>. Linden honey had significantly higher K conten</w:t>
      </w:r>
      <w:r w:rsidR="00D1152A">
        <w:rPr>
          <w:rFonts w:ascii="Times New Roman" w:hAnsi="Times New Roman" w:cs="Times New Roman"/>
          <w:sz w:val="20"/>
        </w:rPr>
        <w:t>t than the light-colored acacia</w:t>
      </w:r>
      <w:r w:rsidRPr="007232BA">
        <w:rPr>
          <w:rFonts w:ascii="Times New Roman" w:hAnsi="Times New Roman" w:cs="Times New Roman"/>
          <w:sz w:val="20"/>
        </w:rPr>
        <w:t xml:space="preserve"> and the darker sunflower honeys (Figure 1). Chestnut honey stood out from the studied honeys due to its extremely high </w:t>
      </w:r>
      <w:proofErr w:type="spellStart"/>
      <w:r w:rsidRPr="007232BA">
        <w:rPr>
          <w:rFonts w:ascii="Times New Roman" w:hAnsi="Times New Roman" w:cs="Times New Roman"/>
          <w:sz w:val="20"/>
        </w:rPr>
        <w:t>Mn</w:t>
      </w:r>
      <w:proofErr w:type="spellEnd"/>
      <w:r w:rsidRPr="007232BA">
        <w:rPr>
          <w:rFonts w:ascii="Times New Roman" w:hAnsi="Times New Roman" w:cs="Times New Roman"/>
          <w:sz w:val="20"/>
        </w:rPr>
        <w:t xml:space="preserve"> and Zn content. </w:t>
      </w:r>
    </w:p>
    <w:p w:rsidR="007232BA" w:rsidRDefault="007232BA" w:rsidP="007232B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BC97AC4" wp14:editId="3B779409">
            <wp:extent cx="3438525" cy="226822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8525" cy="2268220"/>
                    </a:xfrm>
                    <a:prstGeom prst="rect">
                      <a:avLst/>
                    </a:prstGeom>
                    <a:noFill/>
                  </pic:spPr>
                </pic:pic>
              </a:graphicData>
            </a:graphic>
          </wp:inline>
        </w:drawing>
      </w:r>
    </w:p>
    <w:p w:rsidR="007232BA" w:rsidRPr="007232BA" w:rsidRDefault="007232BA" w:rsidP="007232BA">
      <w:pPr>
        <w:jc w:val="center"/>
        <w:rPr>
          <w:rFonts w:ascii="Times New Roman" w:hAnsi="Times New Roman" w:cs="Times New Roman"/>
          <w:i/>
          <w:sz w:val="18"/>
        </w:rPr>
      </w:pPr>
      <w:proofErr w:type="gramStart"/>
      <w:r w:rsidRPr="007232BA">
        <w:rPr>
          <w:rFonts w:ascii="Times New Roman" w:hAnsi="Times New Roman" w:cs="Times New Roman"/>
          <w:b/>
          <w:i/>
          <w:sz w:val="18"/>
        </w:rPr>
        <w:t>Figure 1.</w:t>
      </w:r>
      <w:proofErr w:type="gramEnd"/>
      <w:r w:rsidRPr="007232BA">
        <w:rPr>
          <w:rFonts w:ascii="Times New Roman" w:hAnsi="Times New Roman" w:cs="Times New Roman"/>
          <w:i/>
          <w:sz w:val="18"/>
        </w:rPr>
        <w:t xml:space="preserve"> Principal component analysis (PCA) of dataset consisting of </w:t>
      </w:r>
      <w:proofErr w:type="spellStart"/>
      <w:r w:rsidRPr="007232BA">
        <w:rPr>
          <w:rFonts w:ascii="Times New Roman" w:hAnsi="Times New Roman" w:cs="Times New Roman"/>
          <w:i/>
          <w:sz w:val="18"/>
        </w:rPr>
        <w:t>macroelements</w:t>
      </w:r>
      <w:proofErr w:type="spellEnd"/>
      <w:r w:rsidRPr="007232BA">
        <w:rPr>
          <w:rFonts w:ascii="Times New Roman" w:hAnsi="Times New Roman" w:cs="Times New Roman"/>
          <w:i/>
          <w:sz w:val="18"/>
        </w:rPr>
        <w:t xml:space="preserve"> and color parameters analyzed from the honey samples.</w:t>
      </w:r>
    </w:p>
    <w:p w:rsidR="007232BA" w:rsidRDefault="007232BA" w:rsidP="007232BA">
      <w:pPr>
        <w:jc w:val="both"/>
        <w:rPr>
          <w:rFonts w:ascii="Times New Roman" w:hAnsi="Times New Roman" w:cs="Times New Roman"/>
          <w:sz w:val="20"/>
        </w:rPr>
      </w:pPr>
      <w:r w:rsidRPr="007232BA">
        <w:rPr>
          <w:rFonts w:ascii="Times New Roman" w:hAnsi="Times New Roman" w:cs="Times New Roman"/>
          <w:b/>
          <w:sz w:val="20"/>
        </w:rPr>
        <w:t>Conclusion:</w:t>
      </w:r>
      <w:r w:rsidRPr="007232BA">
        <w:rPr>
          <w:rFonts w:ascii="Times New Roman" w:hAnsi="Times New Roman" w:cs="Times New Roman"/>
          <w:sz w:val="20"/>
        </w:rPr>
        <w:t xml:space="preserve"> Our results revealed that besides the traditionally used pollen profile, also minerals can be applied as markers to identify honey types. The unique mineral composition of acacia, linden, chestnut and sunflower honeys can contribute to their nutritional value.</w:t>
      </w:r>
    </w:p>
    <w:p w:rsidR="007232BA" w:rsidRPr="007232BA" w:rsidRDefault="007232BA" w:rsidP="007232BA">
      <w:pPr>
        <w:rPr>
          <w:rFonts w:ascii="Times New Roman" w:hAnsi="Times New Roman" w:cs="Times New Roman"/>
          <w:b/>
          <w:sz w:val="24"/>
        </w:rPr>
      </w:pPr>
      <w:r w:rsidRPr="007232BA">
        <w:rPr>
          <w:rFonts w:ascii="Times New Roman" w:hAnsi="Times New Roman" w:cs="Times New Roman"/>
          <w:b/>
          <w:sz w:val="24"/>
        </w:rPr>
        <w:lastRenderedPageBreak/>
        <w:t>Biography</w:t>
      </w:r>
    </w:p>
    <w:p w:rsidR="007232BA" w:rsidRPr="007232BA" w:rsidRDefault="007232BA" w:rsidP="007232BA">
      <w:pPr>
        <w:jc w:val="both"/>
        <w:rPr>
          <w:rFonts w:ascii="Times New Roman" w:hAnsi="Times New Roman" w:cs="Times New Roman"/>
          <w:sz w:val="20"/>
        </w:rPr>
      </w:pPr>
      <w:r w:rsidRPr="007232BA">
        <w:rPr>
          <w:rFonts w:ascii="Times New Roman" w:hAnsi="Times New Roman" w:cs="Times New Roman"/>
          <w:sz w:val="20"/>
        </w:rPr>
        <w:t xml:space="preserve">Marianna </w:t>
      </w:r>
      <w:proofErr w:type="spellStart"/>
      <w:r w:rsidRPr="007232BA">
        <w:rPr>
          <w:rFonts w:ascii="Times New Roman" w:hAnsi="Times New Roman" w:cs="Times New Roman"/>
          <w:sz w:val="20"/>
        </w:rPr>
        <w:t>Kocsis</w:t>
      </w:r>
      <w:proofErr w:type="spellEnd"/>
      <w:r w:rsidRPr="007232BA">
        <w:rPr>
          <w:rFonts w:ascii="Times New Roman" w:hAnsi="Times New Roman" w:cs="Times New Roman"/>
          <w:sz w:val="20"/>
        </w:rPr>
        <w:t xml:space="preserve"> as associate professor teaches plant anatomy, morphology and physiology. Her recent research is focusing on the plant derived compounds in honeys. She is devoted to prove and emphasize the nutritional and medicinal value of different honey types. The close cooperation with the colleagues and students at the Department of Pharmacognosy created the successfully operating honey research group. Their studies also cover the bioactivity of honey, e.g. the antioxidant capacity and antimicrobial effect of this natural product.</w:t>
      </w:r>
    </w:p>
    <w:sectPr w:rsidR="007232BA" w:rsidRPr="007232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F7B" w:rsidRDefault="00D53F7B" w:rsidP="00CD7091">
      <w:pPr>
        <w:spacing w:after="0" w:line="240" w:lineRule="auto"/>
      </w:pPr>
      <w:r>
        <w:separator/>
      </w:r>
    </w:p>
  </w:endnote>
  <w:endnote w:type="continuationSeparator" w:id="0">
    <w:p w:rsidR="00D53F7B" w:rsidRDefault="00D53F7B" w:rsidP="00CD7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F7B" w:rsidRDefault="00D53F7B" w:rsidP="00CD7091">
      <w:pPr>
        <w:spacing w:after="0" w:line="240" w:lineRule="auto"/>
      </w:pPr>
      <w:r>
        <w:separator/>
      </w:r>
    </w:p>
  </w:footnote>
  <w:footnote w:type="continuationSeparator" w:id="0">
    <w:p w:rsidR="00D53F7B" w:rsidRDefault="00D53F7B" w:rsidP="00CD70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2BA"/>
    <w:rsid w:val="00474203"/>
    <w:rsid w:val="00535872"/>
    <w:rsid w:val="007232BA"/>
    <w:rsid w:val="00924B33"/>
    <w:rsid w:val="00CD7091"/>
    <w:rsid w:val="00D1152A"/>
    <w:rsid w:val="00D53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32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2BA"/>
    <w:rPr>
      <w:rFonts w:ascii="Tahoma" w:hAnsi="Tahoma" w:cs="Tahoma"/>
      <w:sz w:val="16"/>
      <w:szCs w:val="16"/>
    </w:rPr>
  </w:style>
  <w:style w:type="paragraph" w:styleId="Header">
    <w:name w:val="header"/>
    <w:basedOn w:val="Normal"/>
    <w:link w:val="HeaderChar"/>
    <w:uiPriority w:val="99"/>
    <w:unhideWhenUsed/>
    <w:rsid w:val="00CD7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091"/>
  </w:style>
  <w:style w:type="paragraph" w:styleId="Footer">
    <w:name w:val="footer"/>
    <w:basedOn w:val="Normal"/>
    <w:link w:val="FooterChar"/>
    <w:uiPriority w:val="99"/>
    <w:unhideWhenUsed/>
    <w:rsid w:val="00CD7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32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2BA"/>
    <w:rPr>
      <w:rFonts w:ascii="Tahoma" w:hAnsi="Tahoma" w:cs="Tahoma"/>
      <w:sz w:val="16"/>
      <w:szCs w:val="16"/>
    </w:rPr>
  </w:style>
  <w:style w:type="paragraph" w:styleId="Header">
    <w:name w:val="header"/>
    <w:basedOn w:val="Normal"/>
    <w:link w:val="HeaderChar"/>
    <w:uiPriority w:val="99"/>
    <w:unhideWhenUsed/>
    <w:rsid w:val="00CD7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091"/>
  </w:style>
  <w:style w:type="paragraph" w:styleId="Footer">
    <w:name w:val="footer"/>
    <w:basedOn w:val="Normal"/>
    <w:link w:val="FooterChar"/>
    <w:uiPriority w:val="99"/>
    <w:unhideWhenUsed/>
    <w:rsid w:val="00CD7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2023-01-19T05:09:00Z</dcterms:created>
  <dcterms:modified xsi:type="dcterms:W3CDTF">2023-01-19T05:56:00Z</dcterms:modified>
</cp:coreProperties>
</file>