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A1C89">
      <w:pPr>
        <w:rPr>
          <w:rFonts w:ascii="Times New Roman" w:hAnsi="Times New Roman" w:cs="Times New Roman"/>
          <w:b/>
          <w:sz w:val="32"/>
        </w:rPr>
      </w:pPr>
      <w:bookmarkStart w:id="0" w:name="_GoBack"/>
      <w:r w:rsidRPr="00FA1C89">
        <w:rPr>
          <w:rFonts w:ascii="Times New Roman" w:hAnsi="Times New Roman" w:cs="Times New Roman"/>
          <w:b/>
          <w:sz w:val="32"/>
        </w:rPr>
        <w:t>Circular economy of packaging and relativity of time in packaging life cycle</w:t>
      </w:r>
    </w:p>
    <w:p w:rsidR="00FA1C89" w:rsidRDefault="00FA1C89">
      <w:pPr>
        <w:rPr>
          <w:rFonts w:ascii="Times New Roman" w:hAnsi="Times New Roman" w:cs="Times New Roman"/>
          <w:sz w:val="24"/>
        </w:rPr>
      </w:pPr>
      <w:proofErr w:type="spellStart"/>
      <w:r w:rsidRPr="00FA1C89">
        <w:rPr>
          <w:rFonts w:ascii="Times New Roman" w:hAnsi="Times New Roman" w:cs="Times New Roman"/>
          <w:sz w:val="24"/>
        </w:rPr>
        <w:t>Ilija</w:t>
      </w:r>
      <w:proofErr w:type="spellEnd"/>
      <w:r w:rsidRPr="00FA1C89">
        <w:rPr>
          <w:rFonts w:ascii="Times New Roman" w:hAnsi="Times New Roman" w:cs="Times New Roman"/>
          <w:sz w:val="24"/>
        </w:rPr>
        <w:t xml:space="preserve"> Sazdovski</w:t>
      </w:r>
      <w:r w:rsidRPr="00FA1C89">
        <w:rPr>
          <w:rFonts w:ascii="Times New Roman" w:hAnsi="Times New Roman" w:cs="Times New Roman"/>
          <w:sz w:val="24"/>
          <w:vertAlign w:val="superscript"/>
        </w:rPr>
        <w:t>1</w:t>
      </w:r>
      <w:r>
        <w:rPr>
          <w:rFonts w:ascii="Times New Roman" w:hAnsi="Times New Roman" w:cs="Times New Roman"/>
          <w:sz w:val="24"/>
        </w:rPr>
        <w:t>*</w:t>
      </w:r>
      <w:r w:rsidRPr="00FA1C89">
        <w:rPr>
          <w:rFonts w:ascii="Times New Roman" w:hAnsi="Times New Roman" w:cs="Times New Roman"/>
          <w:sz w:val="24"/>
        </w:rPr>
        <w:t xml:space="preserve">, </w:t>
      </w:r>
      <w:proofErr w:type="spellStart"/>
      <w:r w:rsidRPr="00FA1C89">
        <w:rPr>
          <w:rFonts w:ascii="Times New Roman" w:hAnsi="Times New Roman" w:cs="Times New Roman"/>
          <w:sz w:val="24"/>
        </w:rPr>
        <w:t>Dragana</w:t>
      </w:r>
      <w:proofErr w:type="spellEnd"/>
      <w:r w:rsidRPr="00FA1C89">
        <w:rPr>
          <w:rFonts w:ascii="Times New Roman" w:hAnsi="Times New Roman" w:cs="Times New Roman"/>
          <w:sz w:val="24"/>
        </w:rPr>
        <w:t xml:space="preserve"> Bojovic</w:t>
      </w:r>
      <w:r w:rsidRPr="00FA1C89">
        <w:rPr>
          <w:rFonts w:ascii="Times New Roman" w:hAnsi="Times New Roman" w:cs="Times New Roman"/>
          <w:sz w:val="24"/>
          <w:vertAlign w:val="superscript"/>
        </w:rPr>
        <w:t>2</w:t>
      </w:r>
      <w:r w:rsidRPr="00FA1C89">
        <w:rPr>
          <w:rFonts w:ascii="Times New Roman" w:hAnsi="Times New Roman" w:cs="Times New Roman"/>
          <w:sz w:val="24"/>
        </w:rPr>
        <w:t>, Laura Batlle-Bayer</w:t>
      </w:r>
      <w:r w:rsidRPr="00FA1C89">
        <w:rPr>
          <w:rFonts w:ascii="Times New Roman" w:hAnsi="Times New Roman" w:cs="Times New Roman"/>
          <w:sz w:val="24"/>
          <w:vertAlign w:val="superscript"/>
        </w:rPr>
        <w:t>1</w:t>
      </w:r>
      <w:r w:rsidRPr="00FA1C89">
        <w:rPr>
          <w:rFonts w:ascii="Times New Roman" w:hAnsi="Times New Roman" w:cs="Times New Roman"/>
          <w:sz w:val="24"/>
        </w:rPr>
        <w:t>, Ruben Aldaco</w:t>
      </w:r>
      <w:r w:rsidRPr="00FA1C89">
        <w:rPr>
          <w:rFonts w:ascii="Times New Roman" w:hAnsi="Times New Roman" w:cs="Times New Roman"/>
          <w:sz w:val="24"/>
          <w:vertAlign w:val="superscript"/>
        </w:rPr>
        <w:t>3</w:t>
      </w:r>
      <w:r w:rsidRPr="00FA1C89">
        <w:rPr>
          <w:rFonts w:ascii="Times New Roman" w:hAnsi="Times New Roman" w:cs="Times New Roman"/>
          <w:sz w:val="24"/>
        </w:rPr>
        <w:t xml:space="preserve">, </w:t>
      </w:r>
      <w:proofErr w:type="spellStart"/>
      <w:r w:rsidRPr="00FA1C89">
        <w:rPr>
          <w:rFonts w:ascii="Times New Roman" w:hAnsi="Times New Roman" w:cs="Times New Roman"/>
          <w:sz w:val="24"/>
        </w:rPr>
        <w:t>María</w:t>
      </w:r>
      <w:proofErr w:type="spellEnd"/>
      <w:r w:rsidRPr="00FA1C89">
        <w:rPr>
          <w:rFonts w:ascii="Times New Roman" w:hAnsi="Times New Roman" w:cs="Times New Roman"/>
          <w:sz w:val="24"/>
        </w:rPr>
        <w:t xml:space="preserve"> Margallo</w:t>
      </w:r>
      <w:r w:rsidRPr="00FA1C89">
        <w:rPr>
          <w:rFonts w:ascii="Times New Roman" w:hAnsi="Times New Roman" w:cs="Times New Roman"/>
          <w:sz w:val="24"/>
          <w:vertAlign w:val="superscript"/>
        </w:rPr>
        <w:t>3</w:t>
      </w:r>
      <w:r w:rsidRPr="00FA1C89">
        <w:rPr>
          <w:rFonts w:ascii="Times New Roman" w:hAnsi="Times New Roman" w:cs="Times New Roman"/>
          <w:sz w:val="24"/>
        </w:rPr>
        <w:t>, Harrison Tetteh</w:t>
      </w:r>
      <w:r w:rsidRPr="00FA1C89">
        <w:rPr>
          <w:rFonts w:ascii="Times New Roman" w:hAnsi="Times New Roman" w:cs="Times New Roman"/>
          <w:sz w:val="24"/>
          <w:vertAlign w:val="superscript"/>
        </w:rPr>
        <w:t>4</w:t>
      </w:r>
      <w:r w:rsidRPr="00FA1C89">
        <w:rPr>
          <w:rFonts w:ascii="Times New Roman" w:hAnsi="Times New Roman" w:cs="Times New Roman"/>
          <w:sz w:val="24"/>
        </w:rPr>
        <w:t>, Rita Puig</w:t>
      </w:r>
      <w:r w:rsidRPr="00FA1C89">
        <w:rPr>
          <w:rFonts w:ascii="Times New Roman" w:hAnsi="Times New Roman" w:cs="Times New Roman"/>
          <w:sz w:val="24"/>
          <w:vertAlign w:val="superscript"/>
        </w:rPr>
        <w:t>4</w:t>
      </w:r>
      <w:r w:rsidRPr="00FA1C89">
        <w:rPr>
          <w:rFonts w:ascii="Times New Roman" w:hAnsi="Times New Roman" w:cs="Times New Roman"/>
          <w:sz w:val="24"/>
        </w:rPr>
        <w:t xml:space="preserve"> and Pere Fullana-i-Palmer</w:t>
      </w:r>
      <w:r w:rsidRPr="00FA1C89">
        <w:rPr>
          <w:rFonts w:ascii="Times New Roman" w:hAnsi="Times New Roman" w:cs="Times New Roman"/>
          <w:sz w:val="24"/>
          <w:vertAlign w:val="superscript"/>
        </w:rPr>
        <w:t>1</w:t>
      </w:r>
    </w:p>
    <w:p w:rsidR="00FA1C89" w:rsidRPr="00FA1C89" w:rsidRDefault="00FA1C89" w:rsidP="00FA1C89">
      <w:pPr>
        <w:spacing w:after="0"/>
        <w:rPr>
          <w:rFonts w:ascii="Times New Roman" w:hAnsi="Times New Roman" w:cs="Times New Roman"/>
        </w:rPr>
      </w:pPr>
      <w:r w:rsidRPr="00FA1C89">
        <w:rPr>
          <w:rFonts w:ascii="Times New Roman" w:hAnsi="Times New Roman" w:cs="Times New Roman"/>
          <w:vertAlign w:val="superscript"/>
        </w:rPr>
        <w:t>1</w:t>
      </w:r>
      <w:r w:rsidRPr="00FA1C89">
        <w:rPr>
          <w:rFonts w:ascii="Times New Roman" w:hAnsi="Times New Roman" w:cs="Times New Roman"/>
        </w:rPr>
        <w:t>UNESCO Chair in Life Cycle and Climate Change ESCI–UPF, Spain</w:t>
      </w:r>
    </w:p>
    <w:p w:rsidR="00FA1C89" w:rsidRPr="00FA1C89" w:rsidRDefault="00FA1C89" w:rsidP="00FA1C89">
      <w:pPr>
        <w:spacing w:after="0"/>
        <w:rPr>
          <w:rFonts w:ascii="Times New Roman" w:hAnsi="Times New Roman" w:cs="Times New Roman"/>
        </w:rPr>
      </w:pPr>
      <w:r w:rsidRPr="00FA1C89">
        <w:rPr>
          <w:rFonts w:ascii="Times New Roman" w:hAnsi="Times New Roman" w:cs="Times New Roman"/>
          <w:vertAlign w:val="superscript"/>
        </w:rPr>
        <w:t>2</w:t>
      </w:r>
      <w:r w:rsidRPr="00FA1C89">
        <w:rPr>
          <w:rFonts w:ascii="Times New Roman" w:hAnsi="Times New Roman" w:cs="Times New Roman"/>
        </w:rPr>
        <w:t>Barcelona Supercomputing Center, Spain</w:t>
      </w:r>
    </w:p>
    <w:p w:rsidR="00FA1C89" w:rsidRPr="00FA1C89" w:rsidRDefault="00FA1C89" w:rsidP="00FA1C89">
      <w:pPr>
        <w:spacing w:after="0"/>
        <w:rPr>
          <w:rFonts w:ascii="Times New Roman" w:hAnsi="Times New Roman" w:cs="Times New Roman"/>
        </w:rPr>
      </w:pPr>
      <w:r w:rsidRPr="00FA1C89">
        <w:rPr>
          <w:rFonts w:ascii="Times New Roman" w:hAnsi="Times New Roman" w:cs="Times New Roman"/>
          <w:vertAlign w:val="superscript"/>
        </w:rPr>
        <w:t>3</w:t>
      </w:r>
      <w:r w:rsidRPr="00FA1C89">
        <w:rPr>
          <w:rFonts w:ascii="Times New Roman" w:hAnsi="Times New Roman" w:cs="Times New Roman"/>
        </w:rPr>
        <w:t>University of Cantabria, Spain</w:t>
      </w:r>
    </w:p>
    <w:p w:rsidR="00FA1C89" w:rsidRPr="00FA1C89" w:rsidRDefault="00FA1C89">
      <w:pPr>
        <w:rPr>
          <w:rFonts w:ascii="Times New Roman" w:hAnsi="Times New Roman" w:cs="Times New Roman"/>
        </w:rPr>
      </w:pPr>
      <w:r w:rsidRPr="00FA1C89">
        <w:rPr>
          <w:rFonts w:ascii="Times New Roman" w:hAnsi="Times New Roman" w:cs="Times New Roman"/>
          <w:vertAlign w:val="superscript"/>
        </w:rPr>
        <w:t>4</w:t>
      </w:r>
      <w:r w:rsidRPr="00FA1C89">
        <w:rPr>
          <w:rFonts w:ascii="Times New Roman" w:hAnsi="Times New Roman" w:cs="Times New Roman"/>
        </w:rPr>
        <w:t xml:space="preserve">University of </w:t>
      </w:r>
      <w:proofErr w:type="spellStart"/>
      <w:r w:rsidRPr="00FA1C89">
        <w:rPr>
          <w:rFonts w:ascii="Times New Roman" w:hAnsi="Times New Roman" w:cs="Times New Roman"/>
        </w:rPr>
        <w:t>Lleida</w:t>
      </w:r>
      <w:proofErr w:type="spellEnd"/>
      <w:r w:rsidRPr="00FA1C89">
        <w:rPr>
          <w:rFonts w:ascii="Times New Roman" w:hAnsi="Times New Roman" w:cs="Times New Roman"/>
        </w:rPr>
        <w:t>, Spain</w:t>
      </w:r>
    </w:p>
    <w:p w:rsidR="00FA1C89" w:rsidRPr="00FA1C89" w:rsidRDefault="00FA1C89" w:rsidP="00FA1C89">
      <w:pPr>
        <w:jc w:val="center"/>
        <w:rPr>
          <w:rFonts w:ascii="Times New Roman" w:hAnsi="Times New Roman" w:cs="Times New Roman"/>
          <w:b/>
          <w:sz w:val="24"/>
        </w:rPr>
      </w:pPr>
      <w:r w:rsidRPr="00FA1C89">
        <w:rPr>
          <w:rFonts w:ascii="Times New Roman" w:hAnsi="Times New Roman" w:cs="Times New Roman"/>
          <w:b/>
          <w:sz w:val="24"/>
        </w:rPr>
        <w:t>Abstract</w:t>
      </w:r>
    </w:p>
    <w:p w:rsidR="00FA1C89" w:rsidRDefault="00FA1C89" w:rsidP="00FA1C89">
      <w:pPr>
        <w:jc w:val="both"/>
        <w:rPr>
          <w:rFonts w:ascii="Times New Roman" w:hAnsi="Times New Roman" w:cs="Times New Roman"/>
          <w:sz w:val="20"/>
        </w:rPr>
      </w:pPr>
      <w:r w:rsidRPr="00FA1C89">
        <w:rPr>
          <w:rFonts w:ascii="Times New Roman" w:hAnsi="Times New Roman" w:cs="Times New Roman"/>
          <w:sz w:val="20"/>
        </w:rPr>
        <w:t xml:space="preserve">The circular economy paradigm aims to improve the use of material and decrease the negative impacts of the life cycle of products on the environment. In line with the broad variety of conceptualizations and definitions used to describe the circular economy, there are also numerous circularity indicators available in the literature. However, the lack of any unique definition and commonly accepted indicators for circularity are key limitations for comparing Life Cycle Assessments (LCA) of products through the lens of circularity. This paper applies the three variables that define the value creation principles in the widely accepted definition of circularity provided by the Ellen MacArthur Foundation: material, energy and time. We show that including time in the LCA methodology is vital for improving the accuracy of traditional LCA models, especially for products such as packaging that have a relatively short usage time in the </w:t>
      </w:r>
      <w:proofErr w:type="spellStart"/>
      <w:r w:rsidRPr="00FA1C89">
        <w:rPr>
          <w:rFonts w:ascii="Times New Roman" w:hAnsi="Times New Roman" w:cs="Times New Roman"/>
          <w:sz w:val="20"/>
        </w:rPr>
        <w:t>technosphere</w:t>
      </w:r>
      <w:proofErr w:type="spellEnd"/>
      <w:r w:rsidRPr="00FA1C89">
        <w:rPr>
          <w:rFonts w:ascii="Times New Roman" w:hAnsi="Times New Roman" w:cs="Times New Roman"/>
          <w:sz w:val="20"/>
        </w:rPr>
        <w:t xml:space="preserve"> compared to their recycling time. For this purpose we develop a formula that includes the time necessary for obtaining the secondary material needed for the production of </w:t>
      </w:r>
      <w:r w:rsidRPr="00FA1C89">
        <w:rPr>
          <w:rFonts w:ascii="Times New Roman" w:hAnsi="Times New Roman" w:cs="Times New Roman"/>
          <w:i/>
          <w:sz w:val="20"/>
        </w:rPr>
        <w:t>"n+1"</w:t>
      </w:r>
      <w:r w:rsidRPr="00FA1C89">
        <w:rPr>
          <w:rFonts w:ascii="Times New Roman" w:hAnsi="Times New Roman" w:cs="Times New Roman"/>
          <w:sz w:val="20"/>
        </w:rPr>
        <w:t xml:space="preserve"> product. The paper shows that we need to consider the production of additional packaging products and that the quantity of these products depends on the time needed for recycling in the waste management system. This aspect has traditionally been neglected when developing comparative LCAs between systems that serve the same function. The proposed approach to packaging LCA contributes to an important scientific debate over the allocation of credits and burdens between several consecutive life cycles of a product.</w:t>
      </w:r>
    </w:p>
    <w:p w:rsidR="00FA1C89" w:rsidRPr="00FA1C89" w:rsidRDefault="00FA1C89" w:rsidP="00FA1C89">
      <w:pPr>
        <w:rPr>
          <w:rFonts w:ascii="Times New Roman" w:hAnsi="Times New Roman" w:cs="Times New Roman"/>
          <w:b/>
          <w:sz w:val="24"/>
        </w:rPr>
      </w:pPr>
      <w:r w:rsidRPr="00FA1C89">
        <w:rPr>
          <w:rFonts w:ascii="Times New Roman" w:hAnsi="Times New Roman" w:cs="Times New Roman"/>
          <w:b/>
          <w:sz w:val="24"/>
        </w:rPr>
        <w:t>Biography</w:t>
      </w:r>
    </w:p>
    <w:p w:rsidR="00FA1C89" w:rsidRPr="00FA1C89" w:rsidRDefault="00FA1C89" w:rsidP="00FA1C89">
      <w:pPr>
        <w:jc w:val="both"/>
        <w:rPr>
          <w:rFonts w:ascii="Times New Roman" w:hAnsi="Times New Roman" w:cs="Times New Roman"/>
          <w:sz w:val="20"/>
        </w:rPr>
      </w:pPr>
      <w:r w:rsidRPr="00FA1C89">
        <w:rPr>
          <w:rFonts w:ascii="Times New Roman" w:hAnsi="Times New Roman" w:cs="Times New Roman"/>
          <w:sz w:val="20"/>
        </w:rPr>
        <w:t xml:space="preserve"> </w:t>
      </w:r>
      <w:proofErr w:type="spellStart"/>
      <w:r w:rsidRPr="00FA1C89">
        <w:rPr>
          <w:rFonts w:ascii="Times New Roman" w:hAnsi="Times New Roman" w:cs="Times New Roman"/>
          <w:sz w:val="20"/>
        </w:rPr>
        <w:t>Ilija</w:t>
      </w:r>
      <w:proofErr w:type="spellEnd"/>
      <w:r w:rsidRPr="00FA1C89">
        <w:rPr>
          <w:rFonts w:ascii="Times New Roman" w:hAnsi="Times New Roman" w:cs="Times New Roman"/>
          <w:sz w:val="20"/>
        </w:rPr>
        <w:t xml:space="preserve"> </w:t>
      </w:r>
      <w:proofErr w:type="spellStart"/>
      <w:r w:rsidRPr="00FA1C89">
        <w:rPr>
          <w:rFonts w:ascii="Times New Roman" w:hAnsi="Times New Roman" w:cs="Times New Roman"/>
          <w:sz w:val="20"/>
        </w:rPr>
        <w:t>Sazdovski</w:t>
      </w:r>
      <w:proofErr w:type="spellEnd"/>
      <w:r w:rsidRPr="00FA1C89">
        <w:rPr>
          <w:rFonts w:ascii="Times New Roman" w:hAnsi="Times New Roman" w:cs="Times New Roman"/>
          <w:sz w:val="20"/>
        </w:rPr>
        <w:t xml:space="preserve"> pursues his PhD thesis, directed by </w:t>
      </w:r>
      <w:proofErr w:type="spellStart"/>
      <w:r w:rsidRPr="00FA1C89">
        <w:rPr>
          <w:rFonts w:ascii="Times New Roman" w:hAnsi="Times New Roman" w:cs="Times New Roman"/>
          <w:sz w:val="20"/>
        </w:rPr>
        <w:t>Dr</w:t>
      </w:r>
      <w:proofErr w:type="spellEnd"/>
      <w:r w:rsidRPr="00FA1C89">
        <w:rPr>
          <w:rFonts w:ascii="Times New Roman" w:hAnsi="Times New Roman" w:cs="Times New Roman"/>
          <w:sz w:val="20"/>
        </w:rPr>
        <w:t xml:space="preserve"> Pere </w:t>
      </w:r>
      <w:proofErr w:type="spellStart"/>
      <w:r w:rsidRPr="00FA1C89">
        <w:rPr>
          <w:rFonts w:ascii="Times New Roman" w:hAnsi="Times New Roman" w:cs="Times New Roman"/>
          <w:sz w:val="20"/>
        </w:rPr>
        <w:t>Fullana</w:t>
      </w:r>
      <w:proofErr w:type="spellEnd"/>
      <w:r w:rsidRPr="00FA1C89">
        <w:rPr>
          <w:rFonts w:ascii="Times New Roman" w:hAnsi="Times New Roman" w:cs="Times New Roman"/>
          <w:sz w:val="20"/>
        </w:rPr>
        <w:t xml:space="preserve"> </w:t>
      </w:r>
      <w:proofErr w:type="spellStart"/>
      <w:r w:rsidRPr="00FA1C89">
        <w:rPr>
          <w:rFonts w:ascii="Times New Roman" w:hAnsi="Times New Roman" w:cs="Times New Roman"/>
          <w:sz w:val="20"/>
        </w:rPr>
        <w:t>i</w:t>
      </w:r>
      <w:proofErr w:type="spellEnd"/>
      <w:r w:rsidRPr="00FA1C89">
        <w:rPr>
          <w:rFonts w:ascii="Times New Roman" w:hAnsi="Times New Roman" w:cs="Times New Roman"/>
          <w:sz w:val="20"/>
        </w:rPr>
        <w:t xml:space="preserve"> Palmer at the UNESCO Chair in Life Cycle and Climate Change ESCI-UPF. His thesis, aims develop and apply the life cycle assessment methodology to packaging waste management. The PhD Candidate studies the determinants that reinforce or weaken the hierarchy of waste management, including prevention, preparation for reuse, </w:t>
      </w:r>
      <w:proofErr w:type="gramStart"/>
      <w:r w:rsidRPr="00FA1C89">
        <w:rPr>
          <w:rFonts w:ascii="Times New Roman" w:hAnsi="Times New Roman" w:cs="Times New Roman"/>
          <w:sz w:val="20"/>
        </w:rPr>
        <w:t>recycling</w:t>
      </w:r>
      <w:proofErr w:type="gramEnd"/>
      <w:r w:rsidRPr="00FA1C89">
        <w:rPr>
          <w:rFonts w:ascii="Times New Roman" w:hAnsi="Times New Roman" w:cs="Times New Roman"/>
          <w:sz w:val="20"/>
        </w:rPr>
        <w:t xml:space="preserve">, other types of recovery and, finally, the elimination of waste. </w:t>
      </w:r>
      <w:r>
        <w:rPr>
          <w:rFonts w:ascii="Times New Roman" w:hAnsi="Times New Roman" w:cs="Times New Roman"/>
          <w:sz w:val="20"/>
        </w:rPr>
        <w:t>He h</w:t>
      </w:r>
      <w:r w:rsidRPr="00FA1C89">
        <w:rPr>
          <w:rFonts w:ascii="Times New Roman" w:hAnsi="Times New Roman" w:cs="Times New Roman"/>
          <w:sz w:val="20"/>
        </w:rPr>
        <w:t xml:space="preserve">olds a master degree in Ecological economics and </w:t>
      </w:r>
      <w:r w:rsidRPr="00FA1C89">
        <w:rPr>
          <w:rFonts w:ascii="Times New Roman" w:hAnsi="Times New Roman" w:cs="Times New Roman"/>
          <w:sz w:val="20"/>
        </w:rPr>
        <w:t>B.Sc.</w:t>
      </w:r>
      <w:r w:rsidRPr="00FA1C89">
        <w:rPr>
          <w:rFonts w:ascii="Times New Roman" w:hAnsi="Times New Roman" w:cs="Times New Roman"/>
          <w:sz w:val="20"/>
        </w:rPr>
        <w:t xml:space="preserve"> in Mathematics and Physics. </w:t>
      </w:r>
      <w:r>
        <w:rPr>
          <w:rFonts w:ascii="Times New Roman" w:hAnsi="Times New Roman" w:cs="Times New Roman"/>
          <w:sz w:val="20"/>
        </w:rPr>
        <w:t>He</w:t>
      </w:r>
      <w:r w:rsidRPr="00FA1C89">
        <w:rPr>
          <w:rFonts w:ascii="Times New Roman" w:hAnsi="Times New Roman" w:cs="Times New Roman"/>
          <w:sz w:val="20"/>
        </w:rPr>
        <w:t xml:space="preserve"> is a member of the International Association of Energy Engineers and between 2012 and 2018 he was part of the Scientific Advisory Board of the Conference for Sustainable Development of Energy, Water and Environmental Systems. He is experienced Project Manager with a demonstrated history of working in the development sector as International Expert in MRV hired by United Nations and GIZ.</w:t>
      </w:r>
      <w:bookmarkEnd w:id="0"/>
    </w:p>
    <w:sectPr w:rsidR="00FA1C89" w:rsidRPr="00FA1C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89"/>
    <w:rsid w:val="0032354D"/>
    <w:rsid w:val="00474203"/>
    <w:rsid w:val="00535872"/>
    <w:rsid w:val="00924B33"/>
    <w:rsid w:val="00FA1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1C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C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1C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C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447</Words>
  <Characters>2551</Characters>
  <Application>Microsoft Office Word</Application>
  <DocSecurity>0</DocSecurity>
  <Lines>21</Lines>
  <Paragraphs>5</Paragraphs>
  <ScaleCrop>false</ScaleCrop>
  <Company/>
  <LinksUpToDate>false</LinksUpToDate>
  <CharactersWithSpaces>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2023-02-20T09:26:00Z</dcterms:created>
  <dcterms:modified xsi:type="dcterms:W3CDTF">2023-02-20T09:36:00Z</dcterms:modified>
</cp:coreProperties>
</file>