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54F9" w:rsidP="000F0A90">
      <w:pPr>
        <w:spacing w:after="120"/>
        <w:rPr>
          <w:rFonts w:ascii="Times New Roman" w:hAnsi="Times New Roman" w:cs="Times New Roman"/>
          <w:b/>
          <w:sz w:val="32"/>
        </w:rPr>
      </w:pPr>
      <w:r w:rsidRPr="001554F9">
        <w:rPr>
          <w:rFonts w:ascii="Times New Roman" w:hAnsi="Times New Roman" w:cs="Times New Roman"/>
          <w:b/>
          <w:sz w:val="32"/>
        </w:rPr>
        <w:t>The combination of physical activity with fruit and vegetable intake significantly improved life satisfaction among older Taiwanese individuals: A 16-year population-based cohort study</w:t>
      </w:r>
    </w:p>
    <w:p w:rsidR="001554F9" w:rsidRDefault="001554F9" w:rsidP="000F0A90">
      <w:pPr>
        <w:spacing w:after="120"/>
        <w:rPr>
          <w:rFonts w:ascii="Times New Roman" w:hAnsi="Times New Roman" w:cs="Times New Roman"/>
          <w:sz w:val="24"/>
        </w:rPr>
      </w:pPr>
      <w:r w:rsidRPr="001554F9">
        <w:rPr>
          <w:rFonts w:ascii="Times New Roman" w:hAnsi="Times New Roman" w:cs="Times New Roman"/>
          <w:sz w:val="24"/>
        </w:rPr>
        <w:t xml:space="preserve">Richard </w:t>
      </w:r>
      <w:proofErr w:type="spellStart"/>
      <w:r w:rsidRPr="001554F9">
        <w:rPr>
          <w:rFonts w:ascii="Times New Roman" w:hAnsi="Times New Roman" w:cs="Times New Roman"/>
          <w:sz w:val="24"/>
        </w:rPr>
        <w:t>Szewei</w:t>
      </w:r>
      <w:proofErr w:type="spellEnd"/>
      <w:r w:rsidRPr="001554F9">
        <w:rPr>
          <w:rFonts w:ascii="Times New Roman" w:hAnsi="Times New Roman" w:cs="Times New Roman"/>
          <w:sz w:val="24"/>
        </w:rPr>
        <w:t xml:space="preserve"> Wang</w:t>
      </w:r>
      <w:r w:rsidRPr="001554F9">
        <w:rPr>
          <w:rFonts w:ascii="Times New Roman" w:hAnsi="Times New Roman" w:cs="Times New Roman"/>
          <w:sz w:val="24"/>
          <w:vertAlign w:val="superscript"/>
        </w:rPr>
        <w:t>1</w:t>
      </w:r>
      <w:r>
        <w:rPr>
          <w:rFonts w:ascii="Times New Roman" w:hAnsi="Times New Roman" w:cs="Times New Roman"/>
          <w:sz w:val="24"/>
        </w:rPr>
        <w:t xml:space="preserve">, </w:t>
      </w:r>
      <w:r w:rsidRPr="001554F9">
        <w:rPr>
          <w:rFonts w:ascii="Times New Roman" w:hAnsi="Times New Roman" w:cs="Times New Roman"/>
          <w:sz w:val="24"/>
        </w:rPr>
        <w:t>Yu-Ni Huang</w:t>
      </w:r>
      <w:r w:rsidRPr="001554F9">
        <w:rPr>
          <w:rFonts w:ascii="Times New Roman" w:hAnsi="Times New Roman" w:cs="Times New Roman"/>
          <w:sz w:val="24"/>
          <w:vertAlign w:val="superscript"/>
        </w:rPr>
        <w:t>2</w:t>
      </w:r>
      <w:r>
        <w:rPr>
          <w:rFonts w:ascii="Times New Roman" w:hAnsi="Times New Roman" w:cs="Times New Roman"/>
          <w:sz w:val="24"/>
        </w:rPr>
        <w:t xml:space="preserve">, </w:t>
      </w:r>
      <w:r w:rsidRPr="001554F9">
        <w:rPr>
          <w:rFonts w:ascii="Times New Roman" w:hAnsi="Times New Roman" w:cs="Times New Roman"/>
          <w:sz w:val="24"/>
        </w:rPr>
        <w:t>Mark L Wahlqvist</w:t>
      </w:r>
      <w:r w:rsidRPr="001554F9">
        <w:rPr>
          <w:rFonts w:ascii="Times New Roman" w:hAnsi="Times New Roman" w:cs="Times New Roman"/>
          <w:sz w:val="24"/>
          <w:vertAlign w:val="superscript"/>
        </w:rPr>
        <w:t>3</w:t>
      </w:r>
      <w:r>
        <w:rPr>
          <w:rFonts w:ascii="Times New Roman" w:hAnsi="Times New Roman" w:cs="Times New Roman"/>
          <w:sz w:val="24"/>
        </w:rPr>
        <w:t xml:space="preserve">, </w:t>
      </w:r>
      <w:r w:rsidRPr="001554F9">
        <w:rPr>
          <w:rFonts w:ascii="Times New Roman" w:hAnsi="Times New Roman" w:cs="Times New Roman"/>
          <w:sz w:val="24"/>
        </w:rPr>
        <w:t>Thomas T.H. Wan</w:t>
      </w:r>
      <w:r w:rsidRPr="001554F9">
        <w:rPr>
          <w:rFonts w:ascii="Times New Roman" w:hAnsi="Times New Roman" w:cs="Times New Roman"/>
          <w:sz w:val="24"/>
          <w:vertAlign w:val="superscript"/>
        </w:rPr>
        <w:t>4</w:t>
      </w:r>
      <w:r>
        <w:rPr>
          <w:rFonts w:ascii="Times New Roman" w:hAnsi="Times New Roman" w:cs="Times New Roman"/>
          <w:sz w:val="24"/>
        </w:rPr>
        <w:t xml:space="preserve">, </w:t>
      </w:r>
      <w:r w:rsidRPr="001554F9">
        <w:rPr>
          <w:rFonts w:ascii="Times New Roman" w:hAnsi="Times New Roman" w:cs="Times New Roman"/>
          <w:sz w:val="24"/>
        </w:rPr>
        <w:t>Tao-</w:t>
      </w:r>
      <w:proofErr w:type="spellStart"/>
      <w:r w:rsidRPr="001554F9">
        <w:rPr>
          <w:rFonts w:ascii="Times New Roman" w:hAnsi="Times New Roman" w:cs="Times New Roman"/>
          <w:sz w:val="24"/>
        </w:rPr>
        <w:t>Hsin</w:t>
      </w:r>
      <w:proofErr w:type="spellEnd"/>
      <w:r w:rsidRPr="001554F9">
        <w:rPr>
          <w:rFonts w:ascii="Times New Roman" w:hAnsi="Times New Roman" w:cs="Times New Roman"/>
          <w:sz w:val="24"/>
        </w:rPr>
        <w:t xml:space="preserve"> Tung</w:t>
      </w:r>
      <w:r w:rsidRPr="001554F9">
        <w:rPr>
          <w:rFonts w:ascii="Times New Roman" w:hAnsi="Times New Roman" w:cs="Times New Roman"/>
          <w:sz w:val="24"/>
          <w:vertAlign w:val="superscript"/>
        </w:rPr>
        <w:t>5</w:t>
      </w:r>
      <w:r>
        <w:rPr>
          <w:rFonts w:ascii="Times New Roman" w:hAnsi="Times New Roman" w:cs="Times New Roman"/>
          <w:sz w:val="24"/>
        </w:rPr>
        <w:t xml:space="preserve"> and </w:t>
      </w:r>
      <w:r w:rsidRPr="001554F9">
        <w:rPr>
          <w:rFonts w:ascii="Times New Roman" w:hAnsi="Times New Roman" w:cs="Times New Roman"/>
          <w:sz w:val="24"/>
        </w:rPr>
        <w:t>Bing-Long Wang</w:t>
      </w:r>
      <w:r w:rsidRPr="001554F9">
        <w:rPr>
          <w:rFonts w:ascii="Times New Roman" w:hAnsi="Times New Roman" w:cs="Times New Roman"/>
          <w:sz w:val="24"/>
          <w:vertAlign w:val="superscript"/>
        </w:rPr>
        <w:t>6</w:t>
      </w:r>
      <w:r>
        <w:rPr>
          <w:rFonts w:ascii="Times New Roman" w:hAnsi="Times New Roman" w:cs="Times New Roman"/>
          <w:sz w:val="24"/>
        </w:rPr>
        <w:t>*</w:t>
      </w:r>
    </w:p>
    <w:p w:rsidR="001554F9" w:rsidRPr="001554F9" w:rsidRDefault="001554F9" w:rsidP="001554F9">
      <w:pPr>
        <w:spacing w:after="0"/>
        <w:rPr>
          <w:rFonts w:ascii="Times New Roman" w:hAnsi="Times New Roman" w:cs="Times New Roman"/>
        </w:rPr>
      </w:pPr>
      <w:r w:rsidRPr="001554F9">
        <w:rPr>
          <w:rFonts w:ascii="Times New Roman" w:hAnsi="Times New Roman" w:cs="Times New Roman"/>
          <w:vertAlign w:val="superscript"/>
        </w:rPr>
        <w:t>1</w:t>
      </w:r>
      <w:r w:rsidRPr="001554F9">
        <w:rPr>
          <w:rFonts w:ascii="Times New Roman" w:hAnsi="Times New Roman" w:cs="Times New Roman"/>
        </w:rPr>
        <w:t>New York University, U.S.A</w:t>
      </w:r>
    </w:p>
    <w:p w:rsidR="001554F9" w:rsidRPr="001554F9" w:rsidRDefault="001554F9" w:rsidP="001554F9">
      <w:pPr>
        <w:spacing w:after="0"/>
        <w:rPr>
          <w:rFonts w:ascii="Times New Roman" w:hAnsi="Times New Roman" w:cs="Times New Roman"/>
        </w:rPr>
      </w:pPr>
      <w:r w:rsidRPr="001554F9">
        <w:rPr>
          <w:rFonts w:ascii="Times New Roman" w:hAnsi="Times New Roman" w:cs="Times New Roman"/>
          <w:vertAlign w:val="superscript"/>
        </w:rPr>
        <w:t>2</w:t>
      </w:r>
      <w:r w:rsidRPr="001554F9">
        <w:rPr>
          <w:rFonts w:ascii="Times New Roman" w:hAnsi="Times New Roman" w:cs="Times New Roman"/>
        </w:rPr>
        <w:t>Independent Researcher, Taiwan</w:t>
      </w:r>
    </w:p>
    <w:p w:rsidR="001554F9" w:rsidRPr="001554F9" w:rsidRDefault="001554F9" w:rsidP="001554F9">
      <w:pPr>
        <w:spacing w:after="0"/>
        <w:rPr>
          <w:rFonts w:ascii="Times New Roman" w:hAnsi="Times New Roman" w:cs="Times New Roman"/>
        </w:rPr>
      </w:pPr>
      <w:r w:rsidRPr="001554F9">
        <w:rPr>
          <w:rFonts w:ascii="Times New Roman" w:hAnsi="Times New Roman" w:cs="Times New Roman"/>
          <w:vertAlign w:val="superscript"/>
        </w:rPr>
        <w:t>3</w:t>
      </w:r>
      <w:r w:rsidRPr="001554F9">
        <w:rPr>
          <w:rFonts w:ascii="Times New Roman" w:hAnsi="Times New Roman" w:cs="Times New Roman"/>
        </w:rPr>
        <w:t>National Defense Medical Center, Taiwan</w:t>
      </w:r>
    </w:p>
    <w:p w:rsidR="001554F9" w:rsidRPr="001554F9" w:rsidRDefault="001554F9" w:rsidP="001554F9">
      <w:pPr>
        <w:spacing w:after="0"/>
        <w:rPr>
          <w:rFonts w:ascii="Times New Roman" w:hAnsi="Times New Roman" w:cs="Times New Roman"/>
        </w:rPr>
      </w:pPr>
      <w:r w:rsidRPr="001554F9">
        <w:rPr>
          <w:rFonts w:ascii="Times New Roman" w:hAnsi="Times New Roman" w:cs="Times New Roman"/>
          <w:vertAlign w:val="superscript"/>
        </w:rPr>
        <w:t>4</w:t>
      </w:r>
      <w:r w:rsidRPr="001554F9">
        <w:rPr>
          <w:rFonts w:ascii="Times New Roman" w:hAnsi="Times New Roman" w:cs="Times New Roman"/>
        </w:rPr>
        <w:t>University of Central Florida, U.S.A</w:t>
      </w:r>
    </w:p>
    <w:p w:rsidR="001554F9" w:rsidRPr="001554F9" w:rsidRDefault="001554F9" w:rsidP="001554F9">
      <w:pPr>
        <w:spacing w:after="0"/>
        <w:rPr>
          <w:rFonts w:ascii="Times New Roman" w:hAnsi="Times New Roman" w:cs="Times New Roman"/>
        </w:rPr>
      </w:pPr>
      <w:r w:rsidRPr="001554F9">
        <w:rPr>
          <w:rFonts w:ascii="Times New Roman" w:hAnsi="Times New Roman" w:cs="Times New Roman"/>
          <w:vertAlign w:val="superscript"/>
        </w:rPr>
        <w:t>5</w:t>
      </w:r>
      <w:r w:rsidRPr="001554F9">
        <w:rPr>
          <w:rFonts w:ascii="Times New Roman" w:hAnsi="Times New Roman" w:cs="Times New Roman"/>
        </w:rPr>
        <w:t>Wenzhou Medical University, China</w:t>
      </w:r>
      <w:bookmarkStart w:id="0" w:name="_GoBack"/>
      <w:bookmarkEnd w:id="0"/>
    </w:p>
    <w:p w:rsidR="001554F9" w:rsidRDefault="001554F9" w:rsidP="000F0A90">
      <w:pPr>
        <w:spacing w:after="120"/>
        <w:rPr>
          <w:rFonts w:ascii="Times New Roman" w:hAnsi="Times New Roman" w:cs="Times New Roman"/>
        </w:rPr>
      </w:pPr>
      <w:r w:rsidRPr="001554F9">
        <w:rPr>
          <w:rFonts w:ascii="Times New Roman" w:hAnsi="Times New Roman" w:cs="Times New Roman"/>
          <w:vertAlign w:val="superscript"/>
        </w:rPr>
        <w:t>6</w:t>
      </w:r>
      <w:r w:rsidRPr="001554F9">
        <w:rPr>
          <w:rFonts w:ascii="Times New Roman" w:hAnsi="Times New Roman" w:cs="Times New Roman"/>
        </w:rPr>
        <w:t>Chinese Academy of Medical Sciences, China</w:t>
      </w:r>
    </w:p>
    <w:p w:rsidR="001554F9" w:rsidRPr="001554F9" w:rsidRDefault="001554F9" w:rsidP="000F0A90">
      <w:pPr>
        <w:spacing w:after="120"/>
        <w:jc w:val="center"/>
        <w:rPr>
          <w:rFonts w:ascii="Times New Roman" w:hAnsi="Times New Roman" w:cs="Times New Roman"/>
          <w:b/>
          <w:sz w:val="24"/>
        </w:rPr>
      </w:pPr>
      <w:r w:rsidRPr="001554F9">
        <w:rPr>
          <w:rFonts w:ascii="Times New Roman" w:hAnsi="Times New Roman" w:cs="Times New Roman"/>
          <w:b/>
          <w:sz w:val="24"/>
        </w:rPr>
        <w:t>Abstract</w:t>
      </w:r>
    </w:p>
    <w:p w:rsidR="001554F9" w:rsidRDefault="001554F9" w:rsidP="000F0A90">
      <w:pPr>
        <w:spacing w:after="120"/>
        <w:jc w:val="both"/>
        <w:rPr>
          <w:rFonts w:ascii="Times New Roman" w:hAnsi="Times New Roman" w:cs="Times New Roman"/>
          <w:sz w:val="20"/>
        </w:rPr>
      </w:pPr>
      <w:r w:rsidRPr="001554F9">
        <w:rPr>
          <w:rFonts w:ascii="Times New Roman" w:hAnsi="Times New Roman" w:cs="Times New Roman"/>
          <w:b/>
          <w:sz w:val="20"/>
        </w:rPr>
        <w:t>Statement of the problem:</w:t>
      </w:r>
      <w:r w:rsidRPr="001554F9">
        <w:rPr>
          <w:rFonts w:ascii="Times New Roman" w:hAnsi="Times New Roman" w:cs="Times New Roman"/>
          <w:sz w:val="20"/>
        </w:rPr>
        <w:t xml:space="preserve"> Physical Activity (PA) and intake of Fruit and Vegetable (F&amp;V) are associated with Life Satisfaction (LS) among elderly individuals; however, the long-term effects and co-occurrence of PA and F&amp;V intake remain unclear. The study aimed to examine the combined effect of PA and F&amp;V intake on LS among a cohort of older Taiwanese individuals. </w:t>
      </w:r>
    </w:p>
    <w:p w:rsidR="001554F9" w:rsidRDefault="001554F9" w:rsidP="000F0A90">
      <w:pPr>
        <w:spacing w:after="120"/>
        <w:jc w:val="both"/>
        <w:rPr>
          <w:rFonts w:ascii="Times New Roman" w:hAnsi="Times New Roman" w:cs="Times New Roman"/>
          <w:sz w:val="20"/>
        </w:rPr>
      </w:pPr>
      <w:r w:rsidRPr="001554F9">
        <w:rPr>
          <w:rFonts w:ascii="Times New Roman" w:hAnsi="Times New Roman" w:cs="Times New Roman"/>
          <w:b/>
          <w:sz w:val="20"/>
        </w:rPr>
        <w:t>Methodology &amp; theoretical orientation:</w:t>
      </w:r>
      <w:r w:rsidRPr="001554F9">
        <w:rPr>
          <w:rFonts w:ascii="Times New Roman" w:hAnsi="Times New Roman" w:cs="Times New Roman"/>
          <w:sz w:val="20"/>
        </w:rPr>
        <w:t xml:space="preserve"> We analyzed five waves of population-based data collected between 1999 and 2015 by the Taiwan Longitudinal Survey of Aging. 3,857 respondents aged over 53 years were included.</w:t>
      </w:r>
      <w:r>
        <w:rPr>
          <w:rFonts w:ascii="Times New Roman" w:hAnsi="Times New Roman" w:cs="Times New Roman"/>
          <w:sz w:val="20"/>
        </w:rPr>
        <w:t xml:space="preserve"> </w:t>
      </w:r>
      <w:r w:rsidRPr="001554F9">
        <w:rPr>
          <w:rFonts w:ascii="Times New Roman" w:hAnsi="Times New Roman" w:cs="Times New Roman"/>
          <w:sz w:val="20"/>
        </w:rPr>
        <w:t xml:space="preserve">LS were assessed using the Life Satisfaction Index. Generalized estimating equations were used to assess the combined effects of PA and F&amp;V intake on LS. Further, we performed regression analysis with adjustment for demographic, socioeconomic, health behavioral, and disease status covariates. </w:t>
      </w:r>
    </w:p>
    <w:p w:rsidR="001554F9" w:rsidRDefault="001554F9" w:rsidP="000F0A90">
      <w:pPr>
        <w:spacing w:after="120"/>
        <w:jc w:val="both"/>
        <w:rPr>
          <w:rFonts w:ascii="Times New Roman" w:hAnsi="Times New Roman" w:cs="Times New Roman"/>
          <w:sz w:val="20"/>
        </w:rPr>
      </w:pPr>
      <w:r w:rsidRPr="001554F9">
        <w:rPr>
          <w:rFonts w:ascii="Times New Roman" w:hAnsi="Times New Roman" w:cs="Times New Roman"/>
          <w:b/>
          <w:sz w:val="20"/>
        </w:rPr>
        <w:t>Findings:</w:t>
      </w:r>
      <w:r w:rsidRPr="001554F9">
        <w:rPr>
          <w:rFonts w:ascii="Times New Roman" w:hAnsi="Times New Roman" w:cs="Times New Roman"/>
          <w:sz w:val="20"/>
        </w:rPr>
        <w:t xml:space="preserve"> There was a significant combined effec</w:t>
      </w:r>
      <w:r>
        <w:rPr>
          <w:rFonts w:ascii="Times New Roman" w:hAnsi="Times New Roman" w:cs="Times New Roman"/>
          <w:sz w:val="20"/>
        </w:rPr>
        <w:t>t of PA and F&amp;V intake on LS (p&lt;</w:t>
      </w:r>
      <w:r w:rsidRPr="001554F9">
        <w:rPr>
          <w:rFonts w:ascii="Times New Roman" w:hAnsi="Times New Roman" w:cs="Times New Roman"/>
          <w:sz w:val="20"/>
        </w:rPr>
        <w:t>0.01). Compared with the both low PA and F&amp;V intake group, there were significantly higher LS levels in</w:t>
      </w:r>
      <w:r>
        <w:rPr>
          <w:rFonts w:ascii="Times New Roman" w:hAnsi="Times New Roman" w:cs="Times New Roman"/>
          <w:sz w:val="20"/>
        </w:rPr>
        <w:t xml:space="preserve"> the both high (odds ratio [OR]=4.69; p&lt;0.01), only high F&amp;V intake (OR=2.87; p&lt;0.01), only high PA (OR=2.48; p&lt;</w:t>
      </w:r>
      <w:r w:rsidRPr="001554F9">
        <w:rPr>
          <w:rFonts w:ascii="Times New Roman" w:hAnsi="Times New Roman" w:cs="Times New Roman"/>
          <w:sz w:val="20"/>
        </w:rPr>
        <w:t>0.01) groups, respectively</w:t>
      </w:r>
      <w:r w:rsidR="000F0A90">
        <w:rPr>
          <w:rFonts w:ascii="Times New Roman" w:hAnsi="Times New Roman" w:cs="Times New Roman"/>
          <w:sz w:val="20"/>
        </w:rPr>
        <w:t xml:space="preserve"> [Figure 1]</w:t>
      </w:r>
      <w:r w:rsidRPr="001554F9">
        <w:rPr>
          <w:rFonts w:ascii="Times New Roman" w:hAnsi="Times New Roman" w:cs="Times New Roman"/>
          <w:sz w:val="20"/>
        </w:rPr>
        <w:t xml:space="preserve">. </w:t>
      </w:r>
    </w:p>
    <w:p w:rsidR="001554F9" w:rsidRDefault="001554F9" w:rsidP="000F0A90">
      <w:pPr>
        <w:spacing w:after="120"/>
        <w:jc w:val="both"/>
        <w:rPr>
          <w:rFonts w:ascii="Times New Roman" w:hAnsi="Times New Roman" w:cs="Times New Roman"/>
          <w:sz w:val="20"/>
        </w:rPr>
      </w:pPr>
      <w:r>
        <w:rPr>
          <w:rFonts w:ascii="Times New Roman" w:hAnsi="Times New Roman" w:cs="Times New Roman"/>
          <w:b/>
          <w:sz w:val="20"/>
        </w:rPr>
        <w:t>Conclusion</w:t>
      </w:r>
      <w:r w:rsidRPr="001554F9">
        <w:rPr>
          <w:rFonts w:ascii="Times New Roman" w:hAnsi="Times New Roman" w:cs="Times New Roman"/>
          <w:b/>
          <w:sz w:val="20"/>
        </w:rPr>
        <w:t>:</w:t>
      </w:r>
      <w:r w:rsidRPr="001554F9">
        <w:rPr>
          <w:rFonts w:ascii="Times New Roman" w:hAnsi="Times New Roman" w:cs="Times New Roman"/>
          <w:sz w:val="20"/>
        </w:rPr>
        <w:t xml:space="preserve"> Our findings confirm the significant combined effect of PA and F&amp;V intake on LS among older Taiwanese individuals. Accordingly, adopting multiple healthy behaviors is a safe, effective, and economical approach to improving LS. This is the first 16-year study to demonstrate the combined effects of PA and F&amp;V intake on LS in Taiwanese older adults. Some of the data were self-reported measures; however, they showed acceptable validity and accuracy. Quantitative assessment of food intake is challenging, especially among the elderly; accordingly, we analyzed the intake frequency rather than the quantity.</w:t>
      </w:r>
    </w:p>
    <w:p w:rsidR="001554F9" w:rsidRDefault="001554F9" w:rsidP="000F0A90">
      <w:pPr>
        <w:spacing w:after="120"/>
        <w:jc w:val="center"/>
        <w:rPr>
          <w:rFonts w:ascii="Times New Roman" w:hAnsi="Times New Roman" w:cs="Times New Roman"/>
          <w:sz w:val="20"/>
        </w:rPr>
      </w:pPr>
      <w:r>
        <w:rPr>
          <w:rFonts w:ascii="Times New Roman" w:hAnsi="Times New Roman" w:cs="Times New Roman"/>
          <w:noProof/>
          <w:sz w:val="20"/>
        </w:rPr>
        <w:drawing>
          <wp:inline distT="0" distB="0" distL="0" distR="0" wp14:anchorId="0E73CB33">
            <wp:extent cx="4305868" cy="152172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1827" cy="1523832"/>
                    </a:xfrm>
                    <a:prstGeom prst="rect">
                      <a:avLst/>
                    </a:prstGeom>
                    <a:noFill/>
                  </pic:spPr>
                </pic:pic>
              </a:graphicData>
            </a:graphic>
          </wp:inline>
        </w:drawing>
      </w:r>
    </w:p>
    <w:p w:rsidR="000F0A90" w:rsidRDefault="000F0A90" w:rsidP="000F0A90">
      <w:pPr>
        <w:spacing w:after="120"/>
        <w:jc w:val="center"/>
        <w:rPr>
          <w:rFonts w:ascii="Times New Roman" w:hAnsi="Times New Roman" w:cs="Times New Roman"/>
          <w:i/>
          <w:sz w:val="18"/>
        </w:rPr>
      </w:pPr>
      <w:proofErr w:type="gramStart"/>
      <w:r w:rsidRPr="000F0A90">
        <w:rPr>
          <w:rFonts w:ascii="Times New Roman" w:hAnsi="Times New Roman" w:cs="Times New Roman"/>
          <w:b/>
          <w:i/>
          <w:sz w:val="18"/>
        </w:rPr>
        <w:t>Figure 1.</w:t>
      </w:r>
      <w:proofErr w:type="gramEnd"/>
      <w:r w:rsidRPr="000F0A90">
        <w:rPr>
          <w:rFonts w:ascii="Times New Roman" w:hAnsi="Times New Roman" w:cs="Times New Roman"/>
          <w:i/>
          <w:sz w:val="18"/>
        </w:rPr>
        <w:t xml:space="preserve"> The differences in (a) physical activity; (b) fruit and vegetable intake; (c) combine physical activity [PA] and fruit and vegetable [FV] intake in age. Bars show 95% CIs</w:t>
      </w:r>
      <w:r>
        <w:rPr>
          <w:rFonts w:ascii="Times New Roman" w:hAnsi="Times New Roman" w:cs="Times New Roman"/>
          <w:i/>
          <w:sz w:val="18"/>
        </w:rPr>
        <w:t>.</w:t>
      </w:r>
    </w:p>
    <w:p w:rsidR="000F0A90" w:rsidRPr="000F0A90" w:rsidRDefault="000F0A90" w:rsidP="000F0A90">
      <w:pPr>
        <w:spacing w:after="120"/>
        <w:rPr>
          <w:rFonts w:ascii="Times New Roman" w:hAnsi="Times New Roman" w:cs="Times New Roman"/>
          <w:b/>
          <w:sz w:val="24"/>
        </w:rPr>
      </w:pPr>
      <w:r w:rsidRPr="000F0A90">
        <w:rPr>
          <w:rFonts w:ascii="Times New Roman" w:hAnsi="Times New Roman" w:cs="Times New Roman"/>
          <w:b/>
          <w:sz w:val="24"/>
        </w:rPr>
        <w:lastRenderedPageBreak/>
        <w:t xml:space="preserve">Biography </w:t>
      </w:r>
    </w:p>
    <w:p w:rsidR="000F0A90" w:rsidRPr="000F0A90" w:rsidRDefault="000F0A90" w:rsidP="000F0A90">
      <w:pPr>
        <w:spacing w:after="120"/>
        <w:jc w:val="both"/>
        <w:rPr>
          <w:rFonts w:ascii="Times New Roman" w:hAnsi="Times New Roman" w:cs="Times New Roman"/>
          <w:sz w:val="20"/>
        </w:rPr>
      </w:pPr>
      <w:r w:rsidRPr="000F0A90">
        <w:rPr>
          <w:rFonts w:ascii="Times New Roman" w:hAnsi="Times New Roman" w:cs="Times New Roman"/>
          <w:sz w:val="20"/>
        </w:rPr>
        <w:t xml:space="preserve">Wang Bing-Long, PhD, MPH, is a Distinguished Professor of School of Health Policy and Management at Peking Union Medical College. His major areas of research include public health and health promotion. </w:t>
      </w:r>
      <w:r>
        <w:rPr>
          <w:rFonts w:ascii="Times New Roman" w:hAnsi="Times New Roman" w:cs="Times New Roman"/>
          <w:sz w:val="20"/>
        </w:rPr>
        <w:t xml:space="preserve">He </w:t>
      </w:r>
      <w:r w:rsidRPr="000F0A90">
        <w:rPr>
          <w:rFonts w:ascii="Times New Roman" w:hAnsi="Times New Roman" w:cs="Times New Roman"/>
          <w:sz w:val="20"/>
        </w:rPr>
        <w:t xml:space="preserve">earned a PhD in health research from Virginia Commonwealth University in 1998 and master of public health from NDMC in 1988. Prior to joining PUMC, he has taught at the St. Louis University, Virginia Commonwealth University, Asia University, Macau University Science and Technology, and he had outstanding teaching and research awards in the US Universities. </w:t>
      </w:r>
      <w:r>
        <w:rPr>
          <w:rFonts w:ascii="Times New Roman" w:hAnsi="Times New Roman" w:cs="Times New Roman"/>
          <w:sz w:val="20"/>
        </w:rPr>
        <w:t>He</w:t>
      </w:r>
      <w:r w:rsidRPr="000F0A90">
        <w:rPr>
          <w:rFonts w:ascii="Times New Roman" w:hAnsi="Times New Roman" w:cs="Times New Roman"/>
          <w:sz w:val="20"/>
        </w:rPr>
        <w:t xml:space="preserve"> has published over 60 articles (includes SCI &amp; SSCI 40 articles) in the Biomedical Research and Clinical Reviews, Health, International Journal of Management Theory and Practice, </w:t>
      </w:r>
      <w:proofErr w:type="spellStart"/>
      <w:r w:rsidRPr="000F0A90">
        <w:rPr>
          <w:rFonts w:ascii="Times New Roman" w:hAnsi="Times New Roman" w:cs="Times New Roman"/>
          <w:sz w:val="20"/>
        </w:rPr>
        <w:t>PLoS</w:t>
      </w:r>
      <w:proofErr w:type="spellEnd"/>
      <w:r w:rsidRPr="000F0A90">
        <w:rPr>
          <w:rFonts w:ascii="Times New Roman" w:hAnsi="Times New Roman" w:cs="Times New Roman"/>
          <w:sz w:val="20"/>
        </w:rPr>
        <w:t xml:space="preserve"> ONE, Health Care Management Review, Health Care Management Science: Journal of Medicine Systems, Journal of Healthcare Management, International Journal of Public Policy, International Journal of Medical Information, </w:t>
      </w:r>
      <w:proofErr w:type="spellStart"/>
      <w:r w:rsidRPr="000F0A90">
        <w:rPr>
          <w:rFonts w:ascii="Times New Roman" w:hAnsi="Times New Roman" w:cs="Times New Roman"/>
          <w:sz w:val="20"/>
        </w:rPr>
        <w:t>Medicina</w:t>
      </w:r>
      <w:proofErr w:type="spellEnd"/>
      <w:r w:rsidRPr="000F0A90">
        <w:rPr>
          <w:rFonts w:ascii="Times New Roman" w:hAnsi="Times New Roman" w:cs="Times New Roman"/>
          <w:sz w:val="20"/>
        </w:rPr>
        <w:t xml:space="preserve"> and other academic journals.</w:t>
      </w:r>
    </w:p>
    <w:sectPr w:rsidR="000F0A90" w:rsidRPr="000F0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4F9"/>
    <w:rsid w:val="000F0A90"/>
    <w:rsid w:val="001554F9"/>
    <w:rsid w:val="00474203"/>
    <w:rsid w:val="00535872"/>
    <w:rsid w:val="007D792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4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4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F850B-FE5D-4FA4-A63C-D9FF237E6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2022-09-20T09:03:00Z</dcterms:created>
  <dcterms:modified xsi:type="dcterms:W3CDTF">2022-09-20T09:18:00Z</dcterms:modified>
</cp:coreProperties>
</file>