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B6359">
      <w:pPr>
        <w:rPr>
          <w:rFonts w:ascii="Times New Roman" w:hAnsi="Times New Roman" w:cs="Times New Roman"/>
          <w:b/>
          <w:sz w:val="32"/>
        </w:rPr>
      </w:pPr>
      <w:bookmarkStart w:id="0" w:name="_GoBack"/>
      <w:r w:rsidRPr="00EB6359">
        <w:rPr>
          <w:rFonts w:ascii="Times New Roman" w:hAnsi="Times New Roman" w:cs="Times New Roman"/>
          <w:b/>
          <w:sz w:val="32"/>
        </w:rPr>
        <w:t xml:space="preserve">The </w:t>
      </w:r>
      <w:proofErr w:type="spellStart"/>
      <w:r w:rsidRPr="00EB6359">
        <w:rPr>
          <w:rFonts w:ascii="Times New Roman" w:hAnsi="Times New Roman" w:cs="Times New Roman"/>
          <w:b/>
          <w:sz w:val="32"/>
        </w:rPr>
        <w:t>nitty</w:t>
      </w:r>
      <w:proofErr w:type="spellEnd"/>
      <w:r w:rsidRPr="00EB6359">
        <w:rPr>
          <w:rFonts w:ascii="Times New Roman" w:hAnsi="Times New Roman" w:cs="Times New Roman"/>
          <w:b/>
          <w:sz w:val="32"/>
        </w:rPr>
        <w:t xml:space="preserve"> gritty of dry eye disease</w:t>
      </w:r>
    </w:p>
    <w:p w:rsidR="00EB6359" w:rsidRDefault="00EB6359">
      <w:pPr>
        <w:rPr>
          <w:rFonts w:ascii="Times New Roman" w:hAnsi="Times New Roman" w:cs="Times New Roman"/>
          <w:sz w:val="24"/>
        </w:rPr>
      </w:pPr>
      <w:proofErr w:type="spellStart"/>
      <w:r w:rsidRPr="00EB6359">
        <w:rPr>
          <w:rFonts w:ascii="Times New Roman" w:hAnsi="Times New Roman" w:cs="Times New Roman"/>
          <w:sz w:val="24"/>
        </w:rPr>
        <w:t>Somto</w:t>
      </w:r>
      <w:proofErr w:type="spellEnd"/>
      <w:r w:rsidRPr="00EB6359">
        <w:rPr>
          <w:rFonts w:ascii="Times New Roman" w:hAnsi="Times New Roman" w:cs="Times New Roman"/>
          <w:sz w:val="24"/>
        </w:rPr>
        <w:t xml:space="preserve"> V. </w:t>
      </w:r>
      <w:proofErr w:type="spellStart"/>
      <w:r w:rsidRPr="00EB6359">
        <w:rPr>
          <w:rFonts w:ascii="Times New Roman" w:hAnsi="Times New Roman" w:cs="Times New Roman"/>
          <w:sz w:val="24"/>
        </w:rPr>
        <w:t>Iloba</w:t>
      </w:r>
      <w:proofErr w:type="spellEnd"/>
    </w:p>
    <w:p w:rsidR="00EB6359" w:rsidRPr="00EB6359" w:rsidRDefault="00EB6359">
      <w:pPr>
        <w:rPr>
          <w:rFonts w:ascii="Times New Roman" w:hAnsi="Times New Roman" w:cs="Times New Roman"/>
        </w:rPr>
      </w:pPr>
      <w:proofErr w:type="spellStart"/>
      <w:r w:rsidRPr="00EB6359">
        <w:rPr>
          <w:rFonts w:ascii="Times New Roman" w:hAnsi="Times New Roman" w:cs="Times New Roman"/>
        </w:rPr>
        <w:t>Metroeyes</w:t>
      </w:r>
      <w:proofErr w:type="spellEnd"/>
      <w:r w:rsidRPr="00EB6359">
        <w:rPr>
          <w:rFonts w:ascii="Times New Roman" w:hAnsi="Times New Roman" w:cs="Times New Roman"/>
        </w:rPr>
        <w:t xml:space="preserve"> Clinic, Nigeria</w:t>
      </w:r>
    </w:p>
    <w:p w:rsidR="00EB6359" w:rsidRPr="00EB6359" w:rsidRDefault="00EB6359" w:rsidP="00EB6359">
      <w:pPr>
        <w:jc w:val="center"/>
        <w:rPr>
          <w:rFonts w:ascii="Times New Roman" w:hAnsi="Times New Roman" w:cs="Times New Roman"/>
          <w:b/>
          <w:sz w:val="24"/>
        </w:rPr>
      </w:pPr>
      <w:r w:rsidRPr="00EB6359">
        <w:rPr>
          <w:rFonts w:ascii="Times New Roman" w:hAnsi="Times New Roman" w:cs="Times New Roman"/>
          <w:b/>
          <w:sz w:val="24"/>
        </w:rPr>
        <w:t>Abstract</w:t>
      </w:r>
    </w:p>
    <w:p w:rsidR="00EB6359" w:rsidRPr="00EB6359" w:rsidRDefault="00EB6359" w:rsidP="00EB6359">
      <w:pPr>
        <w:jc w:val="both"/>
        <w:rPr>
          <w:rFonts w:ascii="Times New Roman" w:hAnsi="Times New Roman" w:cs="Times New Roman"/>
          <w:sz w:val="20"/>
        </w:rPr>
      </w:pPr>
      <w:r w:rsidRPr="00EB6359">
        <w:rPr>
          <w:rFonts w:ascii="Times New Roman" w:hAnsi="Times New Roman" w:cs="Times New Roman"/>
          <w:sz w:val="20"/>
        </w:rPr>
        <w:t>Dry Eye Disease is fast becoming a public health issue in eye care. Therefore, it is imperative for eye care professionals to be armed with the necessary knowledge geared towards improving the quality of life of every dry eye patient that walks into our practice. TFOS DEWS II defines dry eye disease as the following: “Dry eye is a multifactorial disease of the ocular surface characterized by a loss of homeostasis of the tear film, and accompanied by ocular symptoms, in which tear film instability and hyper</w:t>
      </w:r>
      <w:r w:rsidR="00A62F9E">
        <w:rPr>
          <w:rFonts w:ascii="Times New Roman" w:hAnsi="Times New Roman" w:cs="Times New Roman"/>
          <w:sz w:val="20"/>
        </w:rPr>
        <w:t>-</w:t>
      </w:r>
      <w:r w:rsidRPr="00EB6359">
        <w:rPr>
          <w:rFonts w:ascii="Times New Roman" w:hAnsi="Times New Roman" w:cs="Times New Roman"/>
          <w:sz w:val="20"/>
        </w:rPr>
        <w:t>osmolarity, ocular surface inflammation and damage, and neurosensory abnormalities play etiological roles.” Dry Eye Disease is multifaceted, thus the importance of diagnosing dry eye patients with the right kind of dry eye cannot be overemphasized as treatment approach for the</w:t>
      </w:r>
      <w:r>
        <w:rPr>
          <w:rFonts w:ascii="Times New Roman" w:hAnsi="Times New Roman" w:cs="Times New Roman"/>
          <w:sz w:val="20"/>
        </w:rPr>
        <w:t xml:space="preserve"> </w:t>
      </w:r>
      <w:r w:rsidRPr="00EB6359">
        <w:rPr>
          <w:rFonts w:ascii="Times New Roman" w:hAnsi="Times New Roman" w:cs="Times New Roman"/>
          <w:sz w:val="20"/>
        </w:rPr>
        <w:t>two major kinds of dry eye disease differs. Understanding their pathophysiology, clinical presentation and management is</w:t>
      </w:r>
      <w:r>
        <w:rPr>
          <w:rFonts w:ascii="Times New Roman" w:hAnsi="Times New Roman" w:cs="Times New Roman"/>
          <w:sz w:val="20"/>
        </w:rPr>
        <w:t xml:space="preserve"> a</w:t>
      </w:r>
      <w:r w:rsidRPr="00EB6359">
        <w:rPr>
          <w:rFonts w:ascii="Times New Roman" w:hAnsi="Times New Roman" w:cs="Times New Roman"/>
          <w:sz w:val="20"/>
        </w:rPr>
        <w:t xml:space="preserve"> key to top-notch patient care. This poster </w:t>
      </w:r>
      <w:r w:rsidRPr="00EB6359">
        <w:rPr>
          <w:rFonts w:ascii="Times New Roman" w:hAnsi="Times New Roman" w:cs="Times New Roman"/>
          <w:sz w:val="20"/>
        </w:rPr>
        <w:t>presentation</w:t>
      </w:r>
      <w:r w:rsidRPr="00EB6359">
        <w:rPr>
          <w:rFonts w:ascii="Times New Roman" w:hAnsi="Times New Roman" w:cs="Times New Roman"/>
          <w:sz w:val="20"/>
        </w:rPr>
        <w:t xml:space="preserve"> will shed light on the pathophysiology, risk factors, signs and symptoms, treatment, management of Dry Eye Disease as well as novel technologies and medications employed in the treatment of this disease. At the end of the poster presentation, eye care professionals would be armed with a gamut of knowledge required to have the Quality of Life (</w:t>
      </w:r>
      <w:proofErr w:type="spellStart"/>
      <w:r w:rsidRPr="00EB6359">
        <w:rPr>
          <w:rFonts w:ascii="Times New Roman" w:hAnsi="Times New Roman" w:cs="Times New Roman"/>
          <w:sz w:val="20"/>
        </w:rPr>
        <w:t>QoL</w:t>
      </w:r>
      <w:proofErr w:type="spellEnd"/>
      <w:r w:rsidRPr="00EB6359">
        <w:rPr>
          <w:rFonts w:ascii="Times New Roman" w:hAnsi="Times New Roman" w:cs="Times New Roman"/>
          <w:sz w:val="20"/>
        </w:rPr>
        <w:t>) of</w:t>
      </w:r>
      <w:r>
        <w:rPr>
          <w:rFonts w:ascii="Times New Roman" w:hAnsi="Times New Roman" w:cs="Times New Roman"/>
          <w:sz w:val="20"/>
        </w:rPr>
        <w:t xml:space="preserve"> </w:t>
      </w:r>
      <w:r w:rsidRPr="00EB6359">
        <w:rPr>
          <w:rFonts w:ascii="Times New Roman" w:hAnsi="Times New Roman" w:cs="Times New Roman"/>
          <w:sz w:val="20"/>
        </w:rPr>
        <w:t>dry eye patients significantly improved.</w:t>
      </w:r>
    </w:p>
    <w:p w:rsidR="00EB6359" w:rsidRPr="00EB6359" w:rsidRDefault="00EB6359" w:rsidP="00EB6359">
      <w:pPr>
        <w:rPr>
          <w:rFonts w:ascii="Times New Roman" w:hAnsi="Times New Roman" w:cs="Times New Roman"/>
          <w:b/>
          <w:sz w:val="24"/>
        </w:rPr>
      </w:pPr>
      <w:r w:rsidRPr="00EB6359">
        <w:rPr>
          <w:rFonts w:ascii="Times New Roman" w:hAnsi="Times New Roman" w:cs="Times New Roman"/>
          <w:b/>
          <w:sz w:val="24"/>
        </w:rPr>
        <w:t>Biography</w:t>
      </w:r>
    </w:p>
    <w:p w:rsidR="00EB6359" w:rsidRPr="00EB6359" w:rsidRDefault="00EB6359" w:rsidP="00EB6359">
      <w:pPr>
        <w:jc w:val="both"/>
        <w:rPr>
          <w:rFonts w:ascii="Times New Roman" w:hAnsi="Times New Roman" w:cs="Times New Roman"/>
          <w:sz w:val="20"/>
        </w:rPr>
      </w:pPr>
      <w:proofErr w:type="spellStart"/>
      <w:r w:rsidRPr="00EB6359">
        <w:rPr>
          <w:rFonts w:ascii="Times New Roman" w:hAnsi="Times New Roman" w:cs="Times New Roman"/>
          <w:sz w:val="20"/>
        </w:rPr>
        <w:t>Somto</w:t>
      </w:r>
      <w:proofErr w:type="spellEnd"/>
      <w:r w:rsidRPr="00EB6359">
        <w:rPr>
          <w:rFonts w:ascii="Times New Roman" w:hAnsi="Times New Roman" w:cs="Times New Roman"/>
          <w:sz w:val="20"/>
        </w:rPr>
        <w:t xml:space="preserve"> </w:t>
      </w:r>
      <w:proofErr w:type="spellStart"/>
      <w:r w:rsidRPr="00EB6359">
        <w:rPr>
          <w:rFonts w:ascii="Times New Roman" w:hAnsi="Times New Roman" w:cs="Times New Roman"/>
          <w:sz w:val="20"/>
        </w:rPr>
        <w:t>Iloba</w:t>
      </w:r>
      <w:proofErr w:type="spellEnd"/>
      <w:r w:rsidRPr="00EB6359">
        <w:rPr>
          <w:rFonts w:ascii="Times New Roman" w:hAnsi="Times New Roman" w:cs="Times New Roman"/>
          <w:sz w:val="20"/>
        </w:rPr>
        <w:t xml:space="preserve"> is an eye care professional with excellent interpersonal skills with an objective to attract a healthcare organization that breeds intellect, foster ethics and professionalism and at the same time encourages and places a premium on professional skills. He is able to demystify scientific/clinical information to patients. He is passionate about continuous professional development having bagged several CPD certificates. He is skilled in refraction, patient care, </w:t>
      </w:r>
      <w:proofErr w:type="gramStart"/>
      <w:r w:rsidRPr="00EB6359">
        <w:rPr>
          <w:rFonts w:ascii="Times New Roman" w:hAnsi="Times New Roman" w:cs="Times New Roman"/>
          <w:sz w:val="20"/>
        </w:rPr>
        <w:t>education</w:t>
      </w:r>
      <w:proofErr w:type="gramEnd"/>
      <w:r w:rsidRPr="00EB6359">
        <w:rPr>
          <w:rFonts w:ascii="Times New Roman" w:hAnsi="Times New Roman" w:cs="Times New Roman"/>
          <w:sz w:val="20"/>
        </w:rPr>
        <w:t xml:space="preserve"> and </w:t>
      </w:r>
      <w:proofErr w:type="spellStart"/>
      <w:r w:rsidRPr="00EB6359">
        <w:rPr>
          <w:rFonts w:ascii="Times New Roman" w:hAnsi="Times New Roman" w:cs="Times New Roman"/>
          <w:sz w:val="20"/>
        </w:rPr>
        <w:t>counselling</w:t>
      </w:r>
      <w:proofErr w:type="spellEnd"/>
      <w:r w:rsidRPr="00EB6359">
        <w:rPr>
          <w:rFonts w:ascii="Times New Roman" w:hAnsi="Times New Roman" w:cs="Times New Roman"/>
          <w:sz w:val="20"/>
        </w:rPr>
        <w:t xml:space="preserve">. He is also dexterous in instrumentations such as </w:t>
      </w:r>
      <w:proofErr w:type="spellStart"/>
      <w:r w:rsidRPr="00EB6359">
        <w:rPr>
          <w:rFonts w:ascii="Times New Roman" w:hAnsi="Times New Roman" w:cs="Times New Roman"/>
          <w:sz w:val="20"/>
        </w:rPr>
        <w:t>perimetry</w:t>
      </w:r>
      <w:proofErr w:type="spellEnd"/>
      <w:r w:rsidRPr="00EB6359">
        <w:rPr>
          <w:rFonts w:ascii="Times New Roman" w:hAnsi="Times New Roman" w:cs="Times New Roman"/>
          <w:sz w:val="20"/>
        </w:rPr>
        <w:t xml:space="preserve">, </w:t>
      </w:r>
      <w:proofErr w:type="spellStart"/>
      <w:r w:rsidRPr="00EB6359">
        <w:rPr>
          <w:rFonts w:ascii="Times New Roman" w:hAnsi="Times New Roman" w:cs="Times New Roman"/>
          <w:sz w:val="20"/>
        </w:rPr>
        <w:t>pachymetry</w:t>
      </w:r>
      <w:proofErr w:type="spellEnd"/>
      <w:r w:rsidRPr="00EB6359">
        <w:rPr>
          <w:rFonts w:ascii="Times New Roman" w:hAnsi="Times New Roman" w:cs="Times New Roman"/>
          <w:sz w:val="20"/>
        </w:rPr>
        <w:t xml:space="preserve"> and optical coherence tomography as well as result interpretation. He is a public health enthusiast who has participated in several community health outreaches, giving health talks bordering on ocular health.</w:t>
      </w:r>
      <w:bookmarkEnd w:id="0"/>
    </w:p>
    <w:sectPr w:rsidR="00EB6359" w:rsidRPr="00EB63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6359"/>
    <w:rsid w:val="00474203"/>
    <w:rsid w:val="00535872"/>
    <w:rsid w:val="00924B33"/>
    <w:rsid w:val="00A62F9E"/>
    <w:rsid w:val="00EB6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334</Words>
  <Characters>1908</Characters>
  <Application>Microsoft Office Word</Application>
  <DocSecurity>0</DocSecurity>
  <Lines>15</Lines>
  <Paragraphs>4</Paragraphs>
  <ScaleCrop>false</ScaleCrop>
  <Company/>
  <LinksUpToDate>false</LinksUpToDate>
  <CharactersWithSpaces>2238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2022-10-28T05:41:00Z</dcterms:created>
  <dcterms:modified xsi:type="dcterms:W3CDTF">2022-10-28T05:48:00Z</dcterms:modified>
</cp:coreProperties>
</file>