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53C5B">
      <w:pPr>
        <w:rPr>
          <w:rFonts w:ascii="Times New Roman" w:hAnsi="Times New Roman" w:cs="Times New Roman"/>
          <w:b/>
          <w:sz w:val="32"/>
        </w:rPr>
      </w:pPr>
      <w:bookmarkStart w:id="0" w:name="_GoBack"/>
      <w:r w:rsidRPr="00A53C5B">
        <w:rPr>
          <w:rFonts w:ascii="Times New Roman" w:hAnsi="Times New Roman" w:cs="Times New Roman"/>
          <w:b/>
          <w:sz w:val="32"/>
        </w:rPr>
        <w:t>Failure to disclose HIV infection status and its associated factors among children on ART in Northwest Ethiopia, 2021</w:t>
      </w:r>
    </w:p>
    <w:p w:rsidR="00A53C5B" w:rsidRDefault="00A53C5B">
      <w:pPr>
        <w:rPr>
          <w:rFonts w:ascii="Times New Roman" w:hAnsi="Times New Roman" w:cs="Times New Roman"/>
          <w:sz w:val="24"/>
        </w:rPr>
      </w:pPr>
      <w:proofErr w:type="spellStart"/>
      <w:r w:rsidRPr="00A53C5B">
        <w:rPr>
          <w:rFonts w:ascii="Times New Roman" w:hAnsi="Times New Roman" w:cs="Times New Roman"/>
          <w:sz w:val="24"/>
        </w:rPr>
        <w:t>Chalie</w:t>
      </w:r>
      <w:proofErr w:type="spellEnd"/>
      <w:r w:rsidRPr="00A53C5B">
        <w:rPr>
          <w:rFonts w:ascii="Times New Roman" w:hAnsi="Times New Roman" w:cs="Times New Roman"/>
          <w:sz w:val="24"/>
        </w:rPr>
        <w:t xml:space="preserve"> </w:t>
      </w:r>
      <w:proofErr w:type="spellStart"/>
      <w:r w:rsidRPr="00A53C5B">
        <w:rPr>
          <w:rFonts w:ascii="Times New Roman" w:hAnsi="Times New Roman" w:cs="Times New Roman"/>
          <w:sz w:val="24"/>
        </w:rPr>
        <w:t>Marew</w:t>
      </w:r>
      <w:proofErr w:type="spellEnd"/>
      <w:r w:rsidRPr="00A53C5B">
        <w:rPr>
          <w:rFonts w:ascii="Times New Roman" w:hAnsi="Times New Roman" w:cs="Times New Roman"/>
          <w:sz w:val="24"/>
        </w:rPr>
        <w:t xml:space="preserve"> </w:t>
      </w:r>
      <w:proofErr w:type="spellStart"/>
      <w:r w:rsidRPr="00A53C5B">
        <w:rPr>
          <w:rFonts w:ascii="Times New Roman" w:hAnsi="Times New Roman" w:cs="Times New Roman"/>
          <w:sz w:val="24"/>
        </w:rPr>
        <w:t>Tiruneh</w:t>
      </w:r>
      <w:proofErr w:type="spellEnd"/>
    </w:p>
    <w:p w:rsidR="00A53C5B" w:rsidRPr="00A53C5B" w:rsidRDefault="00A53C5B">
      <w:pPr>
        <w:rPr>
          <w:rFonts w:ascii="Times New Roman" w:hAnsi="Times New Roman" w:cs="Times New Roman"/>
        </w:rPr>
      </w:pPr>
      <w:proofErr w:type="spellStart"/>
      <w:r w:rsidRPr="00A53C5B">
        <w:rPr>
          <w:rFonts w:ascii="Times New Roman" w:hAnsi="Times New Roman" w:cs="Times New Roman"/>
        </w:rPr>
        <w:t>Debre</w:t>
      </w:r>
      <w:proofErr w:type="spellEnd"/>
      <w:r w:rsidRPr="00A53C5B">
        <w:rPr>
          <w:rFonts w:ascii="Times New Roman" w:hAnsi="Times New Roman" w:cs="Times New Roman"/>
        </w:rPr>
        <w:t xml:space="preserve"> Tabor University, Ethiopia</w:t>
      </w:r>
    </w:p>
    <w:p w:rsidR="00A53C5B" w:rsidRPr="00A53C5B" w:rsidRDefault="00A53C5B" w:rsidP="00A53C5B">
      <w:pPr>
        <w:jc w:val="center"/>
        <w:rPr>
          <w:rFonts w:ascii="Times New Roman" w:hAnsi="Times New Roman" w:cs="Times New Roman"/>
          <w:b/>
          <w:sz w:val="24"/>
        </w:rPr>
      </w:pPr>
      <w:r w:rsidRPr="00A53C5B">
        <w:rPr>
          <w:rFonts w:ascii="Times New Roman" w:hAnsi="Times New Roman" w:cs="Times New Roman"/>
          <w:b/>
          <w:sz w:val="24"/>
        </w:rPr>
        <w:t>Abstract</w:t>
      </w:r>
    </w:p>
    <w:p w:rsidR="00A53C5B" w:rsidRPr="00A53C5B" w:rsidRDefault="00A53C5B" w:rsidP="00A53C5B">
      <w:pPr>
        <w:jc w:val="both"/>
        <w:rPr>
          <w:rFonts w:ascii="Times New Roman" w:hAnsi="Times New Roman" w:cs="Times New Roman"/>
          <w:sz w:val="20"/>
        </w:rPr>
      </w:pPr>
      <w:r w:rsidRPr="00A53C5B">
        <w:rPr>
          <w:rFonts w:ascii="Times New Roman" w:hAnsi="Times New Roman" w:cs="Times New Roman"/>
          <w:b/>
          <w:sz w:val="20"/>
        </w:rPr>
        <w:t>Background:</w:t>
      </w:r>
      <w:r w:rsidRPr="00A53C5B">
        <w:rPr>
          <w:rFonts w:ascii="Times New Roman" w:hAnsi="Times New Roman" w:cs="Times New Roman"/>
          <w:sz w:val="20"/>
        </w:rPr>
        <w:t xml:space="preserve"> Failure to disclose has disastrous e</w:t>
      </w:r>
      <w:r>
        <w:rPr>
          <w:rFonts w:ascii="Times New Roman" w:hAnsi="Times New Roman" w:cs="Times New Roman"/>
          <w:sz w:val="20"/>
        </w:rPr>
        <w:t>ffects on HIV-positive children</w:t>
      </w:r>
      <w:r w:rsidRPr="00A53C5B">
        <w:rPr>
          <w:rFonts w:ascii="Times New Roman" w:hAnsi="Times New Roman" w:cs="Times New Roman"/>
          <w:sz w:val="20"/>
        </w:rPr>
        <w:t xml:space="preserve"> and non-disclosed children are less likely to take their medications regularly, which can lead to drug treatment failure. Data from different settings is necessary to address such issues, but the evidence is limited in the case of disclosure of HIV-infected children in our study area. Therefore, this study was intended to assess the Failure to disclose HIV infection status and associated factors in HIV-infected children.</w:t>
      </w:r>
    </w:p>
    <w:p w:rsidR="00A53C5B" w:rsidRPr="00A53C5B" w:rsidRDefault="00A53C5B" w:rsidP="00A53C5B">
      <w:pPr>
        <w:jc w:val="both"/>
        <w:rPr>
          <w:rFonts w:ascii="Times New Roman" w:hAnsi="Times New Roman" w:cs="Times New Roman"/>
          <w:sz w:val="20"/>
        </w:rPr>
      </w:pPr>
      <w:r w:rsidRPr="00A53C5B">
        <w:rPr>
          <w:rFonts w:ascii="Times New Roman" w:hAnsi="Times New Roman" w:cs="Times New Roman"/>
          <w:b/>
          <w:sz w:val="20"/>
        </w:rPr>
        <w:t>Methods:</w:t>
      </w:r>
      <w:r w:rsidRPr="00A53C5B">
        <w:rPr>
          <w:rFonts w:ascii="Times New Roman" w:hAnsi="Times New Roman" w:cs="Times New Roman"/>
          <w:sz w:val="20"/>
        </w:rPr>
        <w:t xml:space="preserve"> A multi-center, cross-sectional study was conducted from September 20 to November 20, 2021 at south Gondar zone health facilities. Data were collected </w:t>
      </w:r>
      <w:r>
        <w:rPr>
          <w:rFonts w:ascii="Times New Roman" w:hAnsi="Times New Roman" w:cs="Times New Roman"/>
          <w:sz w:val="20"/>
        </w:rPr>
        <w:t>through face-to-face interviews</w:t>
      </w:r>
      <w:r w:rsidRPr="00A53C5B">
        <w:rPr>
          <w:rFonts w:ascii="Times New Roman" w:hAnsi="Times New Roman" w:cs="Times New Roman"/>
          <w:sz w:val="20"/>
        </w:rPr>
        <w:t xml:space="preserve"> and reviews of clinical records. Children with incomplete medic</w:t>
      </w:r>
      <w:r>
        <w:rPr>
          <w:rFonts w:ascii="Times New Roman" w:hAnsi="Times New Roman" w:cs="Times New Roman"/>
          <w:sz w:val="20"/>
        </w:rPr>
        <w:t>al information</w:t>
      </w:r>
      <w:r w:rsidRPr="00A53C5B">
        <w:rPr>
          <w:rFonts w:ascii="Times New Roman" w:hAnsi="Times New Roman" w:cs="Times New Roman"/>
          <w:sz w:val="20"/>
        </w:rPr>
        <w:t xml:space="preserve"> and without consenting caregivers, mental health issues and major medical disorders were excluded. Data were entered into </w:t>
      </w:r>
      <w:proofErr w:type="spellStart"/>
      <w:r w:rsidRPr="00A53C5B">
        <w:rPr>
          <w:rFonts w:ascii="Times New Roman" w:hAnsi="Times New Roman" w:cs="Times New Roman"/>
          <w:sz w:val="20"/>
        </w:rPr>
        <w:t>Epidata</w:t>
      </w:r>
      <w:proofErr w:type="spellEnd"/>
      <w:r w:rsidRPr="00A53C5B">
        <w:rPr>
          <w:rFonts w:ascii="Times New Roman" w:hAnsi="Times New Roman" w:cs="Times New Roman"/>
          <w:sz w:val="20"/>
        </w:rPr>
        <w:t xml:space="preserve"> version 4.6 and exported to the Statistical Package for Social Science version 25 for analysis. Binary logistic regression was used to assess the association between the factors and the outcome variable. Variables were declared significant if a p-value was less than 0.05.</w:t>
      </w:r>
    </w:p>
    <w:p w:rsidR="00A53C5B" w:rsidRPr="00A53C5B" w:rsidRDefault="00A53C5B" w:rsidP="00A53C5B">
      <w:pPr>
        <w:jc w:val="both"/>
        <w:rPr>
          <w:rFonts w:ascii="Times New Roman" w:hAnsi="Times New Roman" w:cs="Times New Roman"/>
          <w:sz w:val="20"/>
        </w:rPr>
      </w:pPr>
      <w:r w:rsidRPr="00A53C5B">
        <w:rPr>
          <w:rFonts w:ascii="Times New Roman" w:hAnsi="Times New Roman" w:cs="Times New Roman"/>
          <w:b/>
          <w:sz w:val="20"/>
        </w:rPr>
        <w:t>Result:</w:t>
      </w:r>
      <w:r w:rsidRPr="00A53C5B">
        <w:rPr>
          <w:rFonts w:ascii="Times New Roman" w:hAnsi="Times New Roman" w:cs="Times New Roman"/>
          <w:sz w:val="20"/>
        </w:rPr>
        <w:t xml:space="preserve"> Of all, 397 were included in the study, which corresponds to a response rate of 98.2% and 168 (42.3%) caretakers were daily laborers. Almost a third (37.5%) of respondents had not had a conversation with healthcare workers about disclosing their child's diagnosis. Failure to disclose HIV infection status of HIV-positive children attending HIV treatment in South</w:t>
      </w:r>
      <w:r>
        <w:rPr>
          <w:rFonts w:ascii="Times New Roman" w:hAnsi="Times New Roman" w:cs="Times New Roman"/>
          <w:sz w:val="20"/>
        </w:rPr>
        <w:t xml:space="preserve"> Gondar was 198 (49.9%) (95% CI=</w:t>
      </w:r>
      <w:r w:rsidRPr="00A53C5B">
        <w:rPr>
          <w:rFonts w:ascii="Times New Roman" w:hAnsi="Times New Roman" w:cs="Times New Roman"/>
          <w:sz w:val="20"/>
        </w:rPr>
        <w:t>45.1-54.7). In the multivariate analysis, caregivers' marital status, caregivers' educational level, social support, caregivers' disc</w:t>
      </w:r>
      <w:r>
        <w:rPr>
          <w:rFonts w:ascii="Times New Roman" w:hAnsi="Times New Roman" w:cs="Times New Roman"/>
          <w:sz w:val="20"/>
        </w:rPr>
        <w:t>ussion with health care workers</w:t>
      </w:r>
      <w:r w:rsidRPr="00A53C5B">
        <w:rPr>
          <w:rFonts w:ascii="Times New Roman" w:hAnsi="Times New Roman" w:cs="Times New Roman"/>
          <w:sz w:val="20"/>
        </w:rPr>
        <w:t xml:space="preserve"> and location of follow-up were significantly associated with complete confidentiality.</w:t>
      </w:r>
    </w:p>
    <w:p w:rsidR="00A53C5B" w:rsidRPr="00A53C5B" w:rsidRDefault="00A53C5B" w:rsidP="00A53C5B">
      <w:pPr>
        <w:jc w:val="both"/>
        <w:rPr>
          <w:rFonts w:ascii="Times New Roman" w:hAnsi="Times New Roman" w:cs="Times New Roman"/>
          <w:sz w:val="20"/>
        </w:rPr>
      </w:pPr>
      <w:r w:rsidRPr="00A53C5B">
        <w:rPr>
          <w:rFonts w:ascii="Times New Roman" w:hAnsi="Times New Roman" w:cs="Times New Roman"/>
          <w:b/>
          <w:sz w:val="20"/>
        </w:rPr>
        <w:t>Conclusion:</w:t>
      </w:r>
      <w:r w:rsidRPr="00A53C5B">
        <w:rPr>
          <w:rFonts w:ascii="Times New Roman" w:hAnsi="Times New Roman" w:cs="Times New Roman"/>
          <w:sz w:val="20"/>
        </w:rPr>
        <w:t xml:space="preserve"> Failure to disclose HIV infection status among HIV-positive children attending care in South Gondar is higher than most of the studies conducted in the region. This outcome is associated with variables that can be intervened and prevented by taking appropriate action. Therefore, concerned bodies shall work to increase timely and appropriate disclosure by focusing on HIV positive children who have unmarried caretakers, have caretakers who cannot read and write, have no social supports,</w:t>
      </w:r>
      <w:r w:rsidR="00F338D1">
        <w:rPr>
          <w:rFonts w:ascii="Times New Roman" w:hAnsi="Times New Roman" w:cs="Times New Roman"/>
          <w:sz w:val="20"/>
        </w:rPr>
        <w:t xml:space="preserve"> </w:t>
      </w:r>
      <w:r w:rsidRPr="00A53C5B">
        <w:rPr>
          <w:rFonts w:ascii="Times New Roman" w:hAnsi="Times New Roman" w:cs="Times New Roman"/>
          <w:sz w:val="20"/>
        </w:rPr>
        <w:t>have no caretakers</w:t>
      </w:r>
      <w:r>
        <w:rPr>
          <w:rFonts w:ascii="Times New Roman" w:hAnsi="Times New Roman" w:cs="Times New Roman"/>
          <w:sz w:val="20"/>
        </w:rPr>
        <w:t xml:space="preserve"> discussion with health workers</w:t>
      </w:r>
      <w:r w:rsidRPr="00A53C5B">
        <w:rPr>
          <w:rFonts w:ascii="Times New Roman" w:hAnsi="Times New Roman" w:cs="Times New Roman"/>
          <w:sz w:val="20"/>
        </w:rPr>
        <w:t xml:space="preserve"> and have follow-up at health centers.</w:t>
      </w:r>
    </w:p>
    <w:p w:rsidR="00A53C5B" w:rsidRPr="00A53C5B" w:rsidRDefault="00A53C5B" w:rsidP="00A53C5B">
      <w:pPr>
        <w:jc w:val="both"/>
        <w:rPr>
          <w:rFonts w:ascii="Times New Roman" w:hAnsi="Times New Roman" w:cs="Times New Roman"/>
          <w:sz w:val="20"/>
        </w:rPr>
      </w:pPr>
      <w:r w:rsidRPr="00A53C5B">
        <w:rPr>
          <w:rFonts w:ascii="Times New Roman" w:hAnsi="Times New Roman" w:cs="Times New Roman"/>
          <w:b/>
          <w:sz w:val="20"/>
        </w:rPr>
        <w:t>Keywords:</w:t>
      </w:r>
      <w:r w:rsidRPr="00A53C5B">
        <w:rPr>
          <w:rFonts w:ascii="Times New Roman" w:hAnsi="Times New Roman" w:cs="Times New Roman"/>
          <w:sz w:val="20"/>
        </w:rPr>
        <w:t xml:space="preserve"> Non-Disclosure, </w:t>
      </w:r>
      <w:r w:rsidRPr="00A53C5B">
        <w:rPr>
          <w:rFonts w:ascii="Times New Roman" w:hAnsi="Times New Roman" w:cs="Times New Roman"/>
          <w:sz w:val="20"/>
        </w:rPr>
        <w:t>Children</w:t>
      </w:r>
      <w:r w:rsidRPr="00A53C5B">
        <w:rPr>
          <w:rFonts w:ascii="Times New Roman" w:hAnsi="Times New Roman" w:cs="Times New Roman"/>
          <w:sz w:val="20"/>
        </w:rPr>
        <w:t xml:space="preserve">, South Gondar, </w:t>
      </w:r>
      <w:proofErr w:type="spellStart"/>
      <w:r w:rsidRPr="00A53C5B">
        <w:rPr>
          <w:rFonts w:ascii="Times New Roman" w:hAnsi="Times New Roman" w:cs="Times New Roman"/>
          <w:sz w:val="20"/>
        </w:rPr>
        <w:t>Amhara</w:t>
      </w:r>
      <w:proofErr w:type="spellEnd"/>
      <w:r w:rsidRPr="00A53C5B">
        <w:rPr>
          <w:rFonts w:ascii="Times New Roman" w:hAnsi="Times New Roman" w:cs="Times New Roman"/>
          <w:sz w:val="20"/>
        </w:rPr>
        <w:t>, Northwest Ethiopia</w:t>
      </w:r>
      <w:r>
        <w:rPr>
          <w:rFonts w:ascii="Times New Roman" w:hAnsi="Times New Roman" w:cs="Times New Roman"/>
          <w:sz w:val="20"/>
        </w:rPr>
        <w:t>.</w:t>
      </w:r>
    </w:p>
    <w:p w:rsidR="00A53C5B" w:rsidRPr="00A53C5B" w:rsidRDefault="00A53C5B" w:rsidP="00A53C5B">
      <w:pPr>
        <w:rPr>
          <w:rFonts w:ascii="Times New Roman" w:hAnsi="Times New Roman" w:cs="Times New Roman"/>
          <w:b/>
          <w:sz w:val="24"/>
        </w:rPr>
      </w:pPr>
      <w:r w:rsidRPr="00A53C5B">
        <w:rPr>
          <w:rFonts w:ascii="Times New Roman" w:hAnsi="Times New Roman" w:cs="Times New Roman"/>
          <w:b/>
          <w:sz w:val="24"/>
        </w:rPr>
        <w:t>Biography</w:t>
      </w:r>
    </w:p>
    <w:p w:rsidR="00A53C5B" w:rsidRPr="00A53C5B" w:rsidRDefault="00A53C5B" w:rsidP="00A53C5B">
      <w:pPr>
        <w:jc w:val="both"/>
        <w:rPr>
          <w:rFonts w:ascii="Times New Roman" w:hAnsi="Times New Roman" w:cs="Times New Roman"/>
          <w:sz w:val="20"/>
        </w:rPr>
      </w:pPr>
      <w:proofErr w:type="spellStart"/>
      <w:r w:rsidRPr="00A53C5B">
        <w:rPr>
          <w:rFonts w:ascii="Times New Roman" w:hAnsi="Times New Roman" w:cs="Times New Roman"/>
          <w:sz w:val="20"/>
        </w:rPr>
        <w:t>Chalie</w:t>
      </w:r>
      <w:proofErr w:type="spellEnd"/>
      <w:r w:rsidRPr="00A53C5B">
        <w:rPr>
          <w:rFonts w:ascii="Times New Roman" w:hAnsi="Times New Roman" w:cs="Times New Roman"/>
          <w:sz w:val="20"/>
        </w:rPr>
        <w:t xml:space="preserve"> </w:t>
      </w:r>
      <w:proofErr w:type="spellStart"/>
      <w:r w:rsidRPr="00A53C5B">
        <w:rPr>
          <w:rFonts w:ascii="Times New Roman" w:hAnsi="Times New Roman" w:cs="Times New Roman"/>
          <w:sz w:val="20"/>
        </w:rPr>
        <w:t>Marew</w:t>
      </w:r>
      <w:proofErr w:type="spellEnd"/>
      <w:r w:rsidRPr="00A53C5B">
        <w:rPr>
          <w:rFonts w:ascii="Times New Roman" w:hAnsi="Times New Roman" w:cs="Times New Roman"/>
          <w:sz w:val="20"/>
        </w:rPr>
        <w:t xml:space="preserve"> </w:t>
      </w:r>
      <w:proofErr w:type="spellStart"/>
      <w:r w:rsidRPr="00A53C5B">
        <w:rPr>
          <w:rFonts w:ascii="Times New Roman" w:hAnsi="Times New Roman" w:cs="Times New Roman"/>
          <w:sz w:val="20"/>
        </w:rPr>
        <w:t>Tiruneh</w:t>
      </w:r>
      <w:proofErr w:type="spellEnd"/>
      <w:r w:rsidRPr="00A53C5B">
        <w:rPr>
          <w:rFonts w:ascii="Times New Roman" w:hAnsi="Times New Roman" w:cs="Times New Roman"/>
          <w:sz w:val="20"/>
        </w:rPr>
        <w:t xml:space="preserve">, working professor in Department of Pediatrics and Child Health Nursing, College of Health Sciences, </w:t>
      </w:r>
      <w:proofErr w:type="spellStart"/>
      <w:r w:rsidRPr="00A53C5B">
        <w:rPr>
          <w:rFonts w:ascii="Times New Roman" w:hAnsi="Times New Roman" w:cs="Times New Roman"/>
          <w:sz w:val="20"/>
        </w:rPr>
        <w:t>Debre</w:t>
      </w:r>
      <w:proofErr w:type="spellEnd"/>
      <w:r w:rsidRPr="00A53C5B">
        <w:rPr>
          <w:rFonts w:ascii="Times New Roman" w:hAnsi="Times New Roman" w:cs="Times New Roman"/>
          <w:sz w:val="20"/>
        </w:rPr>
        <w:t xml:space="preserve"> Tabor University. He published an article with the title: Underweight and its associated factors among pediatrics attending HIV Care in South Gondar Zone public health facilities, Northwest Ethiopia, 2021</w:t>
      </w:r>
      <w:r>
        <w:rPr>
          <w:rFonts w:ascii="Times New Roman" w:hAnsi="Times New Roman" w:cs="Times New Roman"/>
          <w:sz w:val="20"/>
        </w:rPr>
        <w:t>.</w:t>
      </w:r>
      <w:bookmarkEnd w:id="0"/>
    </w:p>
    <w:sectPr w:rsidR="00A53C5B" w:rsidRPr="00A53C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C5B"/>
    <w:rsid w:val="00474203"/>
    <w:rsid w:val="00535872"/>
    <w:rsid w:val="00924B33"/>
    <w:rsid w:val="00A53C5B"/>
    <w:rsid w:val="00F33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2022-12-20T04:40:00Z</dcterms:created>
  <dcterms:modified xsi:type="dcterms:W3CDTF">2022-12-20T04:52:00Z</dcterms:modified>
</cp:coreProperties>
</file>