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0148">
      <w:pPr>
        <w:rPr>
          <w:rFonts w:ascii="Times New Roman" w:hAnsi="Times New Roman" w:cs="Times New Roman"/>
          <w:b/>
          <w:sz w:val="32"/>
        </w:rPr>
      </w:pPr>
      <w:r w:rsidRPr="00F20148">
        <w:rPr>
          <w:rFonts w:ascii="Times New Roman" w:hAnsi="Times New Roman" w:cs="Times New Roman"/>
          <w:b/>
          <w:sz w:val="32"/>
        </w:rPr>
        <w:t xml:space="preserve">Proximate and </w:t>
      </w:r>
      <w:r>
        <w:rPr>
          <w:rFonts w:ascii="Times New Roman" w:hAnsi="Times New Roman" w:cs="Times New Roman"/>
          <w:b/>
          <w:sz w:val="32"/>
        </w:rPr>
        <w:t>thermo-</w:t>
      </w:r>
      <w:r w:rsidRPr="00F20148">
        <w:rPr>
          <w:rFonts w:ascii="Times New Roman" w:hAnsi="Times New Roman" w:cs="Times New Roman"/>
          <w:b/>
          <w:sz w:val="32"/>
        </w:rPr>
        <w:t xml:space="preserve">gravimetric analysis of </w:t>
      </w:r>
      <w:proofErr w:type="spellStart"/>
      <w:r w:rsidRPr="00F20148">
        <w:rPr>
          <w:rFonts w:ascii="Times New Roman" w:hAnsi="Times New Roman" w:cs="Times New Roman"/>
          <w:b/>
          <w:sz w:val="32"/>
        </w:rPr>
        <w:t>tyre</w:t>
      </w:r>
      <w:proofErr w:type="spellEnd"/>
      <w:r w:rsidRPr="00F20148">
        <w:rPr>
          <w:rFonts w:ascii="Times New Roman" w:hAnsi="Times New Roman" w:cs="Times New Roman"/>
          <w:b/>
          <w:sz w:val="32"/>
        </w:rPr>
        <w:t>-derived carbon black</w:t>
      </w:r>
    </w:p>
    <w:p w:rsidR="00F20148" w:rsidRDefault="00F20148">
      <w:pPr>
        <w:rPr>
          <w:rFonts w:ascii="Times New Roman" w:hAnsi="Times New Roman" w:cs="Times New Roman"/>
          <w:sz w:val="24"/>
        </w:rPr>
      </w:pPr>
      <w:proofErr w:type="spellStart"/>
      <w:r w:rsidRPr="00F20148">
        <w:rPr>
          <w:rFonts w:ascii="Times New Roman" w:hAnsi="Times New Roman" w:cs="Times New Roman"/>
          <w:sz w:val="24"/>
        </w:rPr>
        <w:t>Gbenga</w:t>
      </w:r>
      <w:proofErr w:type="spellEnd"/>
      <w:r w:rsidRPr="00F20148">
        <w:rPr>
          <w:rFonts w:ascii="Times New Roman" w:hAnsi="Times New Roman" w:cs="Times New Roman"/>
          <w:sz w:val="24"/>
        </w:rPr>
        <w:t xml:space="preserve"> F </w:t>
      </w:r>
      <w:proofErr w:type="spellStart"/>
      <w:r w:rsidRPr="00F20148">
        <w:rPr>
          <w:rFonts w:ascii="Times New Roman" w:hAnsi="Times New Roman" w:cs="Times New Roman"/>
          <w:sz w:val="24"/>
        </w:rPr>
        <w:t>Oluyemi</w:t>
      </w:r>
      <w:proofErr w:type="spellEnd"/>
      <w:r>
        <w:rPr>
          <w:rFonts w:ascii="Times New Roman" w:hAnsi="Times New Roman" w:cs="Times New Roman"/>
          <w:sz w:val="24"/>
        </w:rPr>
        <w:t xml:space="preserve">*, </w:t>
      </w:r>
      <w:r w:rsidRPr="00F20148">
        <w:rPr>
          <w:rFonts w:ascii="Times New Roman" w:hAnsi="Times New Roman" w:cs="Times New Roman"/>
          <w:sz w:val="24"/>
        </w:rPr>
        <w:t xml:space="preserve">Richard </w:t>
      </w:r>
      <w:proofErr w:type="spellStart"/>
      <w:r w:rsidRPr="00F20148">
        <w:rPr>
          <w:rFonts w:ascii="Times New Roman" w:hAnsi="Times New Roman" w:cs="Times New Roman"/>
          <w:sz w:val="24"/>
        </w:rPr>
        <w:t>Afolabi</w:t>
      </w:r>
      <w:proofErr w:type="spellEnd"/>
      <w:r>
        <w:rPr>
          <w:rFonts w:ascii="Times New Roman" w:hAnsi="Times New Roman" w:cs="Times New Roman"/>
          <w:sz w:val="24"/>
        </w:rPr>
        <w:t xml:space="preserve">, </w:t>
      </w:r>
      <w:r w:rsidRPr="00F20148">
        <w:rPr>
          <w:rFonts w:ascii="Times New Roman" w:hAnsi="Times New Roman" w:cs="Times New Roman"/>
          <w:sz w:val="24"/>
        </w:rPr>
        <w:t>Richard Hutchins</w:t>
      </w:r>
      <w:r>
        <w:rPr>
          <w:rFonts w:ascii="Times New Roman" w:hAnsi="Times New Roman" w:cs="Times New Roman"/>
          <w:sz w:val="24"/>
        </w:rPr>
        <w:t xml:space="preserve"> and </w:t>
      </w:r>
      <w:r w:rsidRPr="00F20148">
        <w:rPr>
          <w:rFonts w:ascii="Times New Roman" w:hAnsi="Times New Roman" w:cs="Times New Roman"/>
          <w:sz w:val="24"/>
        </w:rPr>
        <w:t>Gray Walter</w:t>
      </w:r>
    </w:p>
    <w:p w:rsidR="00F20148" w:rsidRPr="00F20148" w:rsidRDefault="00F20148">
      <w:pPr>
        <w:rPr>
          <w:rFonts w:ascii="Times New Roman" w:hAnsi="Times New Roman" w:cs="Times New Roman"/>
        </w:rPr>
      </w:pPr>
      <w:r w:rsidRPr="00F20148">
        <w:rPr>
          <w:rFonts w:ascii="Times New Roman" w:hAnsi="Times New Roman" w:cs="Times New Roman"/>
        </w:rPr>
        <w:t>Robert Gordon University, United Kingdom</w:t>
      </w:r>
    </w:p>
    <w:p w:rsidR="00F20148" w:rsidRPr="00F20148" w:rsidRDefault="00F20148" w:rsidP="00F20148">
      <w:pPr>
        <w:jc w:val="center"/>
        <w:rPr>
          <w:rFonts w:ascii="Times New Roman" w:hAnsi="Times New Roman" w:cs="Times New Roman"/>
          <w:b/>
          <w:sz w:val="24"/>
        </w:rPr>
      </w:pPr>
      <w:r w:rsidRPr="00F20148">
        <w:rPr>
          <w:rFonts w:ascii="Times New Roman" w:hAnsi="Times New Roman" w:cs="Times New Roman"/>
          <w:b/>
          <w:sz w:val="24"/>
        </w:rPr>
        <w:t>Abstract</w:t>
      </w:r>
    </w:p>
    <w:p w:rsidR="00F20148" w:rsidRDefault="00F20148" w:rsidP="00F20148">
      <w:pPr>
        <w:jc w:val="both"/>
        <w:rPr>
          <w:rFonts w:ascii="Times New Roman" w:hAnsi="Times New Roman" w:cs="Times New Roman"/>
          <w:sz w:val="20"/>
        </w:rPr>
      </w:pPr>
      <w:r w:rsidRPr="00F20148">
        <w:rPr>
          <w:rFonts w:ascii="Times New Roman" w:hAnsi="Times New Roman" w:cs="Times New Roman"/>
          <w:sz w:val="20"/>
        </w:rPr>
        <w:t xml:space="preserve">Proximate analysis was carried out to determine the moisture, volatile, fixed carbon and ash content of Carbon Black derived from waste </w:t>
      </w:r>
      <w:proofErr w:type="spellStart"/>
      <w:r w:rsidRPr="00F20148">
        <w:rPr>
          <w:rFonts w:ascii="Times New Roman" w:hAnsi="Times New Roman" w:cs="Times New Roman"/>
          <w:sz w:val="20"/>
        </w:rPr>
        <w:t>tyre</w:t>
      </w:r>
      <w:proofErr w:type="spellEnd"/>
      <w:r w:rsidRPr="00F20148">
        <w:rPr>
          <w:rFonts w:ascii="Times New Roman" w:hAnsi="Times New Roman" w:cs="Times New Roman"/>
          <w:sz w:val="20"/>
        </w:rPr>
        <w:t xml:space="preserve"> thermal treatment. The procedure used followed the British Standards for the proximate analysis of coal. From the proximate analysis, it was determined that 8% and 10% of the Carbon Black were moisture and volatile matter. To remove the moisture a</w:t>
      </w:r>
      <w:bookmarkStart w:id="0" w:name="_GoBack"/>
      <w:bookmarkEnd w:id="0"/>
      <w:r w:rsidRPr="00F20148">
        <w:rPr>
          <w:rFonts w:ascii="Times New Roman" w:hAnsi="Times New Roman" w:cs="Times New Roman"/>
          <w:sz w:val="20"/>
        </w:rPr>
        <w:t>nd volatiles from the Carbon Black, treatment with air at elevated temperatures was recommended. Thermo-Gravimetric Analysis (TGA) of the Carbon Black was then carried out at 450°C, 500°C and 600°C. The results of the TGA showed that treatment at 450°C would require a long treatment time to remove the volatiles from the Carbon Black while treatments at both 500°C and 600°C were effective in removing the volatiles. However, with weight losses of 23.7% and 35.2% respectively for 30 and 60 minutes, treatments at 600°C were shown to be most effective in removing all the volatiles. Once the residual volatiles have been removed from the Carbon Black, further activation treatment was carried out in air at 850°C and CO</w:t>
      </w:r>
      <w:r w:rsidRPr="00F20148">
        <w:rPr>
          <w:rFonts w:ascii="Times New Roman" w:hAnsi="Times New Roman" w:cs="Times New Roman"/>
          <w:sz w:val="20"/>
          <w:vertAlign w:val="subscript"/>
        </w:rPr>
        <w:t>2</w:t>
      </w:r>
      <w:r w:rsidRPr="00F20148">
        <w:rPr>
          <w:rFonts w:ascii="Times New Roman" w:hAnsi="Times New Roman" w:cs="Times New Roman"/>
          <w:sz w:val="20"/>
        </w:rPr>
        <w:t xml:space="preserve"> at 850°C and 900°C to enhance its surface area and potential application as adsorbents for waste removal from fluid streams</w:t>
      </w:r>
      <w:r>
        <w:rPr>
          <w:rFonts w:ascii="Times New Roman" w:hAnsi="Times New Roman" w:cs="Times New Roman"/>
          <w:sz w:val="20"/>
        </w:rPr>
        <w:t xml:space="preserve"> [Figure 1]</w:t>
      </w:r>
      <w:r w:rsidRPr="00F20148">
        <w:rPr>
          <w:rFonts w:ascii="Times New Roman" w:hAnsi="Times New Roman" w:cs="Times New Roman"/>
          <w:sz w:val="20"/>
        </w:rPr>
        <w:t>.</w:t>
      </w:r>
    </w:p>
    <w:p w:rsidR="00F20148" w:rsidRDefault="00F20148" w:rsidP="00F2014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6FCD58F">
            <wp:extent cx="2808049" cy="2289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10510" cy="2291982"/>
                    </a:xfrm>
                    <a:prstGeom prst="rect">
                      <a:avLst/>
                    </a:prstGeom>
                    <a:noFill/>
                  </pic:spPr>
                </pic:pic>
              </a:graphicData>
            </a:graphic>
          </wp:inline>
        </w:drawing>
      </w:r>
    </w:p>
    <w:p w:rsidR="00F20148" w:rsidRPr="00F20148" w:rsidRDefault="00F20148" w:rsidP="00F20148">
      <w:pPr>
        <w:jc w:val="center"/>
        <w:rPr>
          <w:rFonts w:ascii="Times New Roman" w:hAnsi="Times New Roman" w:cs="Times New Roman"/>
          <w:i/>
          <w:sz w:val="18"/>
        </w:rPr>
      </w:pPr>
      <w:proofErr w:type="gramStart"/>
      <w:r w:rsidRPr="00F20148">
        <w:rPr>
          <w:rFonts w:ascii="Times New Roman" w:hAnsi="Times New Roman" w:cs="Times New Roman"/>
          <w:b/>
          <w:i/>
          <w:sz w:val="18"/>
        </w:rPr>
        <w:t>Figure 1.</w:t>
      </w:r>
      <w:proofErr w:type="gramEnd"/>
      <w:r w:rsidRPr="00F20148">
        <w:rPr>
          <w:rFonts w:ascii="Times New Roman" w:hAnsi="Times New Roman" w:cs="Times New Roman"/>
          <w:i/>
          <w:sz w:val="18"/>
        </w:rPr>
        <w:t xml:space="preserve"> Proximate analysis of As-received </w:t>
      </w:r>
      <w:proofErr w:type="spellStart"/>
      <w:r w:rsidRPr="00F20148">
        <w:rPr>
          <w:rFonts w:ascii="Times New Roman" w:hAnsi="Times New Roman" w:cs="Times New Roman"/>
          <w:i/>
          <w:sz w:val="18"/>
        </w:rPr>
        <w:t>tyre</w:t>
      </w:r>
      <w:proofErr w:type="spellEnd"/>
      <w:r w:rsidRPr="00F20148">
        <w:rPr>
          <w:rFonts w:ascii="Times New Roman" w:hAnsi="Times New Roman" w:cs="Times New Roman"/>
          <w:i/>
          <w:sz w:val="18"/>
        </w:rPr>
        <w:t xml:space="preserve"> char</w:t>
      </w:r>
    </w:p>
    <w:p w:rsidR="00F20148" w:rsidRPr="00F20148" w:rsidRDefault="00F20148" w:rsidP="00F20148">
      <w:pPr>
        <w:rPr>
          <w:rFonts w:ascii="Times New Roman" w:hAnsi="Times New Roman" w:cs="Times New Roman"/>
          <w:b/>
          <w:sz w:val="24"/>
        </w:rPr>
      </w:pPr>
      <w:r w:rsidRPr="00F20148">
        <w:rPr>
          <w:rFonts w:ascii="Times New Roman" w:hAnsi="Times New Roman" w:cs="Times New Roman"/>
          <w:b/>
          <w:sz w:val="24"/>
        </w:rPr>
        <w:t xml:space="preserve">Biography </w:t>
      </w:r>
    </w:p>
    <w:p w:rsidR="00F20148" w:rsidRPr="00F20148" w:rsidRDefault="00F20148" w:rsidP="00F20148">
      <w:pPr>
        <w:jc w:val="both"/>
        <w:rPr>
          <w:rFonts w:ascii="Times New Roman" w:hAnsi="Times New Roman" w:cs="Times New Roman"/>
          <w:sz w:val="20"/>
        </w:rPr>
      </w:pPr>
      <w:proofErr w:type="spellStart"/>
      <w:r w:rsidRPr="00F20148">
        <w:rPr>
          <w:rFonts w:ascii="Times New Roman" w:hAnsi="Times New Roman" w:cs="Times New Roman"/>
          <w:sz w:val="20"/>
        </w:rPr>
        <w:t>Gbenga</w:t>
      </w:r>
      <w:proofErr w:type="spellEnd"/>
      <w:r w:rsidRPr="00F20148">
        <w:rPr>
          <w:rFonts w:ascii="Times New Roman" w:hAnsi="Times New Roman" w:cs="Times New Roman"/>
          <w:sz w:val="20"/>
        </w:rPr>
        <w:t xml:space="preserve"> </w:t>
      </w:r>
      <w:proofErr w:type="spellStart"/>
      <w:r w:rsidRPr="00F20148">
        <w:rPr>
          <w:rFonts w:ascii="Times New Roman" w:hAnsi="Times New Roman" w:cs="Times New Roman"/>
          <w:sz w:val="20"/>
        </w:rPr>
        <w:t>Oluyemi</w:t>
      </w:r>
      <w:proofErr w:type="spellEnd"/>
      <w:r w:rsidRPr="00F20148">
        <w:rPr>
          <w:rFonts w:ascii="Times New Roman" w:hAnsi="Times New Roman" w:cs="Times New Roman"/>
          <w:sz w:val="20"/>
        </w:rPr>
        <w:t xml:space="preserve"> is an Associate Professor of Petroleum </w:t>
      </w:r>
      <w:proofErr w:type="spellStart"/>
      <w:r w:rsidRPr="00F20148">
        <w:rPr>
          <w:rFonts w:ascii="Times New Roman" w:hAnsi="Times New Roman" w:cs="Times New Roman"/>
          <w:sz w:val="20"/>
        </w:rPr>
        <w:t>Geomechanics</w:t>
      </w:r>
      <w:proofErr w:type="spellEnd"/>
      <w:r w:rsidRPr="00F20148">
        <w:rPr>
          <w:rFonts w:ascii="Times New Roman" w:hAnsi="Times New Roman" w:cs="Times New Roman"/>
          <w:sz w:val="20"/>
        </w:rPr>
        <w:t xml:space="preserve"> at Robert Gordon University, UK and the Chair of Sand Management Network UK. He has more than 20 years of experience spanning academia, the oil and gas industry and water/environmental engineering. </w:t>
      </w:r>
      <w:r>
        <w:rPr>
          <w:rFonts w:ascii="Times New Roman" w:hAnsi="Times New Roman" w:cs="Times New Roman"/>
          <w:sz w:val="20"/>
        </w:rPr>
        <w:t>His</w:t>
      </w:r>
      <w:r w:rsidRPr="00F20148">
        <w:rPr>
          <w:rFonts w:ascii="Times New Roman" w:hAnsi="Times New Roman" w:cs="Times New Roman"/>
          <w:sz w:val="20"/>
        </w:rPr>
        <w:t xml:space="preserve"> research interests are in process </w:t>
      </w:r>
      <w:proofErr w:type="spellStart"/>
      <w:r w:rsidRPr="00F20148">
        <w:rPr>
          <w:rFonts w:ascii="Times New Roman" w:hAnsi="Times New Roman" w:cs="Times New Roman"/>
          <w:sz w:val="20"/>
        </w:rPr>
        <w:t>optimisation</w:t>
      </w:r>
      <w:proofErr w:type="spellEnd"/>
      <w:r w:rsidRPr="00F20148">
        <w:rPr>
          <w:rFonts w:ascii="Times New Roman" w:hAnsi="Times New Roman" w:cs="Times New Roman"/>
          <w:sz w:val="20"/>
        </w:rPr>
        <w:t xml:space="preserve">, life cycle cost and impact analysis, oil and gas production </w:t>
      </w:r>
      <w:proofErr w:type="spellStart"/>
      <w:r w:rsidRPr="00F20148">
        <w:rPr>
          <w:rFonts w:ascii="Times New Roman" w:hAnsi="Times New Roman" w:cs="Times New Roman"/>
          <w:sz w:val="20"/>
        </w:rPr>
        <w:t>optimisation</w:t>
      </w:r>
      <w:proofErr w:type="spellEnd"/>
      <w:r w:rsidRPr="00F20148">
        <w:rPr>
          <w:rFonts w:ascii="Times New Roman" w:hAnsi="Times New Roman" w:cs="Times New Roman"/>
          <w:sz w:val="20"/>
        </w:rPr>
        <w:t xml:space="preserve">, formation evaluation, </w:t>
      </w:r>
      <w:proofErr w:type="spellStart"/>
      <w:r w:rsidRPr="00F20148">
        <w:rPr>
          <w:rFonts w:ascii="Times New Roman" w:hAnsi="Times New Roman" w:cs="Times New Roman"/>
          <w:sz w:val="20"/>
        </w:rPr>
        <w:t>geomechanics</w:t>
      </w:r>
      <w:proofErr w:type="spellEnd"/>
      <w:r w:rsidRPr="00F20148">
        <w:rPr>
          <w:rFonts w:ascii="Times New Roman" w:hAnsi="Times New Roman" w:cs="Times New Roman"/>
          <w:sz w:val="20"/>
        </w:rPr>
        <w:t xml:space="preserve">, oilfield chemistry and value of information. He has substantial experience and expertise in process </w:t>
      </w:r>
      <w:proofErr w:type="spellStart"/>
      <w:r w:rsidRPr="00F20148">
        <w:rPr>
          <w:rFonts w:ascii="Times New Roman" w:hAnsi="Times New Roman" w:cs="Times New Roman"/>
          <w:sz w:val="20"/>
        </w:rPr>
        <w:t>optimisation</w:t>
      </w:r>
      <w:proofErr w:type="spellEnd"/>
      <w:r w:rsidRPr="00F20148">
        <w:rPr>
          <w:rFonts w:ascii="Times New Roman" w:hAnsi="Times New Roman" w:cs="Times New Roman"/>
          <w:sz w:val="20"/>
        </w:rPr>
        <w:t xml:space="preserve"> and up</w:t>
      </w:r>
      <w:r>
        <w:rPr>
          <w:rFonts w:ascii="Times New Roman" w:hAnsi="Times New Roman" w:cs="Times New Roman"/>
          <w:sz w:val="20"/>
        </w:rPr>
        <w:t>-</w:t>
      </w:r>
      <w:r w:rsidRPr="00F20148">
        <w:rPr>
          <w:rFonts w:ascii="Times New Roman" w:hAnsi="Times New Roman" w:cs="Times New Roman"/>
          <w:sz w:val="20"/>
        </w:rPr>
        <w:t>scaling studies. He has worked as PI and Co-PI on a range of projects funded by the UK government, EU</w:t>
      </w:r>
      <w:r w:rsidR="00EB0793">
        <w:rPr>
          <w:rFonts w:ascii="Times New Roman" w:hAnsi="Times New Roman" w:cs="Times New Roman"/>
          <w:sz w:val="20"/>
        </w:rPr>
        <w:t xml:space="preserve"> and</w:t>
      </w:r>
      <w:r w:rsidRPr="00F20148">
        <w:rPr>
          <w:rFonts w:ascii="Times New Roman" w:hAnsi="Times New Roman" w:cs="Times New Roman"/>
          <w:sz w:val="20"/>
        </w:rPr>
        <w:t xml:space="preserve"> oil companies over the last 14 years and has published more than 70 journal and conference papers.</w:t>
      </w:r>
    </w:p>
    <w:sectPr w:rsidR="00F20148" w:rsidRPr="00F201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148"/>
    <w:rsid w:val="0032354D"/>
    <w:rsid w:val="00474203"/>
    <w:rsid w:val="00535872"/>
    <w:rsid w:val="00924B33"/>
    <w:rsid w:val="00EB0793"/>
    <w:rsid w:val="00F2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0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1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0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1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2023-02-17T05:08:00Z</dcterms:created>
  <dcterms:modified xsi:type="dcterms:W3CDTF">2023-02-17T05:22:00Z</dcterms:modified>
</cp:coreProperties>
</file>