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C34" w:rsidRPr="00D528FE" w:rsidRDefault="005273A2" w:rsidP="00D528FE">
      <w:pPr>
        <w:spacing w:after="200" w:line="276" w:lineRule="auto"/>
        <w:rPr>
          <w:rFonts w:ascii="Times New Roman" w:hAnsi="Times New Roman" w:cs="Times New Roman"/>
          <w:b/>
          <w:sz w:val="32"/>
          <w:szCs w:val="24"/>
        </w:rPr>
      </w:pPr>
      <w:commentRangeStart w:id="0"/>
      <w:r w:rsidRPr="00D528FE">
        <w:rPr>
          <w:rFonts w:ascii="Times New Roman" w:hAnsi="Times New Roman" w:cs="Times New Roman"/>
          <w:b/>
          <w:sz w:val="32"/>
          <w:szCs w:val="24"/>
        </w:rPr>
        <w:t>The potential of biogas technology in fuelwood saving and carbon emission reduction in Central Rift Valley, Ethiopia</w:t>
      </w:r>
      <w:commentRangeEnd w:id="0"/>
      <w:r w:rsidR="00B361B0">
        <w:rPr>
          <w:rStyle w:val="CommentReference"/>
        </w:rPr>
        <w:commentReference w:id="0"/>
      </w:r>
    </w:p>
    <w:p w:rsidR="005273A2" w:rsidRPr="00D528FE" w:rsidRDefault="00D528FE" w:rsidP="00D528FE">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Tamiru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Kefalew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Tilinti</w:t>
      </w:r>
      <w:proofErr w:type="spellEnd"/>
      <w:r>
        <w:rPr>
          <w:rFonts w:ascii="Times New Roman" w:hAnsi="Times New Roman" w:cs="Times New Roman"/>
          <w:sz w:val="24"/>
          <w:szCs w:val="24"/>
        </w:rPr>
        <w:t xml:space="preserve"> and</w:t>
      </w:r>
      <w:r w:rsidR="005273A2" w:rsidRPr="00D528FE">
        <w:rPr>
          <w:rFonts w:ascii="Times New Roman" w:hAnsi="Times New Roman" w:cs="Times New Roman"/>
          <w:sz w:val="24"/>
          <w:szCs w:val="24"/>
        </w:rPr>
        <w:t xml:space="preserve"> </w:t>
      </w:r>
      <w:proofErr w:type="spellStart"/>
      <w:r w:rsidR="005273A2" w:rsidRPr="00D528FE">
        <w:rPr>
          <w:rFonts w:ascii="Times New Roman" w:hAnsi="Times New Roman" w:cs="Times New Roman"/>
          <w:sz w:val="24"/>
          <w:szCs w:val="24"/>
        </w:rPr>
        <w:t>Mulugeta</w:t>
      </w:r>
      <w:proofErr w:type="spellEnd"/>
      <w:r w:rsidR="005273A2" w:rsidRPr="00D528FE">
        <w:rPr>
          <w:rFonts w:ascii="Times New Roman" w:hAnsi="Times New Roman" w:cs="Times New Roman"/>
          <w:sz w:val="24"/>
          <w:szCs w:val="24"/>
        </w:rPr>
        <w:t xml:space="preserve"> </w:t>
      </w:r>
      <w:proofErr w:type="spellStart"/>
      <w:r w:rsidR="005273A2" w:rsidRPr="00D528FE">
        <w:rPr>
          <w:rFonts w:ascii="Times New Roman" w:hAnsi="Times New Roman" w:cs="Times New Roman"/>
          <w:sz w:val="24"/>
          <w:szCs w:val="24"/>
        </w:rPr>
        <w:t>Betemariyam</w:t>
      </w:r>
      <w:proofErr w:type="spellEnd"/>
    </w:p>
    <w:p w:rsidR="005273A2" w:rsidRPr="00D528FE" w:rsidRDefault="005273A2" w:rsidP="00D528FE">
      <w:pPr>
        <w:spacing w:after="200" w:line="276" w:lineRule="auto"/>
        <w:rPr>
          <w:rFonts w:ascii="Times New Roman" w:hAnsi="Times New Roman" w:cs="Times New Roman"/>
          <w:szCs w:val="24"/>
        </w:rPr>
      </w:pPr>
      <w:proofErr w:type="spellStart"/>
      <w:r w:rsidRPr="00D528FE">
        <w:rPr>
          <w:rFonts w:ascii="Times New Roman" w:hAnsi="Times New Roman" w:cs="Times New Roman"/>
          <w:szCs w:val="24"/>
        </w:rPr>
        <w:t>Madda</w:t>
      </w:r>
      <w:proofErr w:type="spellEnd"/>
      <w:r w:rsidRPr="00D528FE">
        <w:rPr>
          <w:rFonts w:ascii="Times New Roman" w:hAnsi="Times New Roman" w:cs="Times New Roman"/>
          <w:szCs w:val="24"/>
        </w:rPr>
        <w:t xml:space="preserve"> </w:t>
      </w:r>
      <w:proofErr w:type="spellStart"/>
      <w:r w:rsidRPr="00D528FE">
        <w:rPr>
          <w:rFonts w:ascii="Times New Roman" w:hAnsi="Times New Roman" w:cs="Times New Roman"/>
          <w:szCs w:val="24"/>
        </w:rPr>
        <w:t>Walabu</w:t>
      </w:r>
      <w:proofErr w:type="spellEnd"/>
      <w:r w:rsidRPr="00D528FE">
        <w:rPr>
          <w:rFonts w:ascii="Times New Roman" w:hAnsi="Times New Roman" w:cs="Times New Roman"/>
          <w:szCs w:val="24"/>
        </w:rPr>
        <w:t xml:space="preserve"> University, Ethiopia</w:t>
      </w:r>
    </w:p>
    <w:p w:rsidR="005273A2" w:rsidRPr="00D528FE" w:rsidRDefault="005273A2" w:rsidP="00D528FE">
      <w:pPr>
        <w:spacing w:after="200" w:line="276" w:lineRule="auto"/>
        <w:jc w:val="center"/>
        <w:rPr>
          <w:rFonts w:ascii="Times New Roman" w:hAnsi="Times New Roman" w:cs="Times New Roman"/>
          <w:b/>
          <w:sz w:val="24"/>
          <w:szCs w:val="24"/>
        </w:rPr>
      </w:pPr>
      <w:r w:rsidRPr="00D528FE">
        <w:rPr>
          <w:rFonts w:ascii="Times New Roman" w:hAnsi="Times New Roman" w:cs="Times New Roman"/>
          <w:b/>
          <w:sz w:val="24"/>
          <w:szCs w:val="24"/>
        </w:rPr>
        <w:t>Abstract</w:t>
      </w:r>
    </w:p>
    <w:p w:rsidR="005273A2" w:rsidRDefault="005273A2" w:rsidP="00D528FE">
      <w:pPr>
        <w:spacing w:after="200" w:line="276" w:lineRule="auto"/>
        <w:jc w:val="both"/>
        <w:rPr>
          <w:rFonts w:ascii="Times New Roman" w:hAnsi="Times New Roman" w:cs="Times New Roman"/>
          <w:sz w:val="20"/>
          <w:szCs w:val="24"/>
        </w:rPr>
      </w:pPr>
      <w:r w:rsidRPr="00D528FE">
        <w:rPr>
          <w:rFonts w:ascii="Times New Roman" w:hAnsi="Times New Roman" w:cs="Times New Roman"/>
          <w:sz w:val="20"/>
          <w:szCs w:val="24"/>
        </w:rPr>
        <w:t xml:space="preserve">The rapid rate of deforestation, combined with Ethiopia's rapid population growth, has resulted in increased energy scarcity, high </w:t>
      </w:r>
      <w:r w:rsidR="00D528FE" w:rsidRPr="00D528FE">
        <w:rPr>
          <w:rFonts w:ascii="Times New Roman" w:hAnsi="Times New Roman" w:cs="Times New Roman"/>
          <w:sz w:val="20"/>
          <w:szCs w:val="24"/>
        </w:rPr>
        <w:t>Green</w:t>
      </w:r>
      <w:r w:rsidR="00D528FE">
        <w:rPr>
          <w:rFonts w:ascii="Times New Roman" w:hAnsi="Times New Roman" w:cs="Times New Roman"/>
          <w:sz w:val="20"/>
          <w:szCs w:val="24"/>
        </w:rPr>
        <w:t xml:space="preserve"> </w:t>
      </w:r>
      <w:r w:rsidR="00D528FE" w:rsidRPr="00D528FE">
        <w:rPr>
          <w:rFonts w:ascii="Times New Roman" w:hAnsi="Times New Roman" w:cs="Times New Roman"/>
          <w:sz w:val="20"/>
          <w:szCs w:val="24"/>
        </w:rPr>
        <w:t xml:space="preserve">House Gas </w:t>
      </w:r>
      <w:r w:rsidRPr="00D528FE">
        <w:rPr>
          <w:rFonts w:ascii="Times New Roman" w:hAnsi="Times New Roman" w:cs="Times New Roman"/>
          <w:sz w:val="20"/>
          <w:szCs w:val="24"/>
        </w:rPr>
        <w:t>(GHG) emissions, and climate change. Biogas technology has recently been described as one of the most promising solutions to the</w:t>
      </w:r>
      <w:bookmarkStart w:id="1" w:name="_GoBack"/>
      <w:bookmarkEnd w:id="1"/>
      <w:r w:rsidRPr="00D528FE">
        <w:rPr>
          <w:rFonts w:ascii="Times New Roman" w:hAnsi="Times New Roman" w:cs="Times New Roman"/>
          <w:sz w:val="20"/>
          <w:szCs w:val="24"/>
        </w:rPr>
        <w:t xml:space="preserve"> problems of deforestation, energy supply, and climate change. Therefore, this study was aimed to investigate the potential of biogas technology in fuelwood saving and carbon emission reduction in the Central Rift Valley of Ethiopia. A multi-stage sampling procedure was employed to select a sample of 192 </w:t>
      </w:r>
      <w:r w:rsidR="00D528FE" w:rsidRPr="00D528FE">
        <w:rPr>
          <w:rFonts w:ascii="Times New Roman" w:hAnsi="Times New Roman" w:cs="Times New Roman"/>
          <w:sz w:val="20"/>
          <w:szCs w:val="24"/>
        </w:rPr>
        <w:t>House</w:t>
      </w:r>
      <w:r w:rsidR="00D528FE">
        <w:rPr>
          <w:rFonts w:ascii="Times New Roman" w:hAnsi="Times New Roman" w:cs="Times New Roman"/>
          <w:sz w:val="20"/>
          <w:szCs w:val="24"/>
        </w:rPr>
        <w:t xml:space="preserve"> </w:t>
      </w:r>
      <w:r w:rsidR="00D528FE" w:rsidRPr="00D528FE">
        <w:rPr>
          <w:rFonts w:ascii="Times New Roman" w:hAnsi="Times New Roman" w:cs="Times New Roman"/>
          <w:sz w:val="20"/>
          <w:szCs w:val="24"/>
        </w:rPr>
        <w:t xml:space="preserve">Holds </w:t>
      </w:r>
      <w:r w:rsidRPr="00D528FE">
        <w:rPr>
          <w:rFonts w:ascii="Times New Roman" w:hAnsi="Times New Roman" w:cs="Times New Roman"/>
          <w:sz w:val="20"/>
          <w:szCs w:val="24"/>
        </w:rPr>
        <w:t xml:space="preserve">(HH) (68 biogas adopters and 124 non-adopters). To conduct the Kitchen efficiency test, 25 test subjects were chosen at random from each category. The data were </w:t>
      </w:r>
      <w:proofErr w:type="spellStart"/>
      <w:r w:rsidRPr="00D528FE">
        <w:rPr>
          <w:rFonts w:ascii="Times New Roman" w:hAnsi="Times New Roman" w:cs="Times New Roman"/>
          <w:sz w:val="20"/>
          <w:szCs w:val="24"/>
        </w:rPr>
        <w:t>analyzed</w:t>
      </w:r>
      <w:proofErr w:type="spellEnd"/>
      <w:r w:rsidRPr="00D528FE">
        <w:rPr>
          <w:rFonts w:ascii="Times New Roman" w:hAnsi="Times New Roman" w:cs="Times New Roman"/>
          <w:sz w:val="20"/>
          <w:szCs w:val="24"/>
        </w:rPr>
        <w:t xml:space="preserve"> using descriptive statistics and an independent-sample t-test. The energy source for cooking and heating were fuelwood, biogas, animal dung, agricultural residue, and charcoal were the most common energy source for domestic use, accounting for 46.9%, 35.4%, 9.4</w:t>
      </w:r>
      <w:r w:rsidR="00D528FE">
        <w:rPr>
          <w:rFonts w:ascii="Times New Roman" w:hAnsi="Times New Roman" w:cs="Times New Roman"/>
          <w:sz w:val="20"/>
          <w:szCs w:val="24"/>
        </w:rPr>
        <w:t>%, 5.2</w:t>
      </w:r>
      <w:r w:rsidRPr="00D528FE">
        <w:rPr>
          <w:rFonts w:ascii="Times New Roman" w:hAnsi="Times New Roman" w:cs="Times New Roman"/>
          <w:sz w:val="20"/>
          <w:szCs w:val="24"/>
        </w:rPr>
        <w:t xml:space="preserve">%, and 3.1%, respectively. Kerosene lamps, battery cells, and tiny solar </w:t>
      </w:r>
      <w:r w:rsidR="0026129F">
        <w:rPr>
          <w:rFonts w:ascii="Times New Roman" w:hAnsi="Times New Roman" w:cs="Times New Roman"/>
          <w:sz w:val="20"/>
          <w:szCs w:val="24"/>
        </w:rPr>
        <w:t>panels were utilized by 35%, 32.4%, and 18</w:t>
      </w:r>
      <w:r w:rsidRPr="00D528FE">
        <w:rPr>
          <w:rFonts w:ascii="Times New Roman" w:hAnsi="Times New Roman" w:cs="Times New Roman"/>
          <w:sz w:val="20"/>
          <w:szCs w:val="24"/>
        </w:rPr>
        <w:t xml:space="preserve">% of respondents, respectively, for lighting. The most widely used woody plants for domestic energy usage were </w:t>
      </w:r>
      <w:r w:rsidRPr="00D528FE">
        <w:rPr>
          <w:rFonts w:ascii="Times New Roman" w:hAnsi="Times New Roman" w:cs="Times New Roman"/>
          <w:i/>
          <w:sz w:val="20"/>
          <w:szCs w:val="24"/>
        </w:rPr>
        <w:t xml:space="preserve">Eucalyptus </w:t>
      </w:r>
      <w:proofErr w:type="spellStart"/>
      <w:r w:rsidRPr="00D528FE">
        <w:rPr>
          <w:rFonts w:ascii="Times New Roman" w:hAnsi="Times New Roman" w:cs="Times New Roman"/>
          <w:i/>
          <w:sz w:val="20"/>
          <w:szCs w:val="24"/>
        </w:rPr>
        <w:t>camaldulensis</w:t>
      </w:r>
      <w:proofErr w:type="spellEnd"/>
      <w:r w:rsidRPr="00D528FE">
        <w:rPr>
          <w:rFonts w:ascii="Times New Roman" w:hAnsi="Times New Roman" w:cs="Times New Roman"/>
          <w:sz w:val="20"/>
          <w:szCs w:val="24"/>
        </w:rPr>
        <w:t xml:space="preserve"> and </w:t>
      </w:r>
      <w:r w:rsidRPr="00D528FE">
        <w:rPr>
          <w:rFonts w:ascii="Times New Roman" w:hAnsi="Times New Roman" w:cs="Times New Roman"/>
          <w:i/>
          <w:sz w:val="20"/>
          <w:szCs w:val="24"/>
        </w:rPr>
        <w:t xml:space="preserve">Eucalyptus </w:t>
      </w:r>
      <w:proofErr w:type="spellStart"/>
      <w:r w:rsidRPr="00D528FE">
        <w:rPr>
          <w:rFonts w:ascii="Times New Roman" w:hAnsi="Times New Roman" w:cs="Times New Roman"/>
          <w:i/>
          <w:sz w:val="20"/>
          <w:szCs w:val="24"/>
        </w:rPr>
        <w:t>saligna</w:t>
      </w:r>
      <w:proofErr w:type="spellEnd"/>
      <w:r w:rsidRPr="00D528FE">
        <w:rPr>
          <w:rFonts w:ascii="Times New Roman" w:hAnsi="Times New Roman" w:cs="Times New Roman"/>
          <w:sz w:val="20"/>
          <w:szCs w:val="24"/>
        </w:rPr>
        <w:t>, according to the findings. The digester size of 6</w:t>
      </w:r>
      <w:r w:rsidR="0026129F">
        <w:rPr>
          <w:rFonts w:ascii="Times New Roman" w:hAnsi="Times New Roman" w:cs="Times New Roman"/>
          <w:sz w:val="20"/>
          <w:szCs w:val="24"/>
        </w:rPr>
        <w:t xml:space="preserve"> </w:t>
      </w:r>
      <w:r w:rsidRPr="00D528FE">
        <w:rPr>
          <w:rFonts w:ascii="Times New Roman" w:hAnsi="Times New Roman" w:cs="Times New Roman"/>
          <w:sz w:val="20"/>
          <w:szCs w:val="24"/>
        </w:rPr>
        <w:t>m</w:t>
      </w:r>
      <w:r w:rsidRPr="0026129F">
        <w:rPr>
          <w:rFonts w:ascii="Times New Roman" w:hAnsi="Times New Roman" w:cs="Times New Roman"/>
          <w:sz w:val="20"/>
          <w:szCs w:val="24"/>
          <w:vertAlign w:val="superscript"/>
        </w:rPr>
        <w:t>3</w:t>
      </w:r>
      <w:r w:rsidRPr="00D528FE">
        <w:rPr>
          <w:rFonts w:ascii="Times New Roman" w:hAnsi="Times New Roman" w:cs="Times New Roman"/>
          <w:sz w:val="20"/>
          <w:szCs w:val="24"/>
        </w:rPr>
        <w:t xml:space="preserve"> was used in 93 (56.5%) of the 165 biogas plants, while 8</w:t>
      </w:r>
      <w:r w:rsidR="00D528FE">
        <w:rPr>
          <w:rFonts w:ascii="Times New Roman" w:hAnsi="Times New Roman" w:cs="Times New Roman"/>
          <w:sz w:val="20"/>
          <w:szCs w:val="24"/>
        </w:rPr>
        <w:t xml:space="preserve"> </w:t>
      </w:r>
      <w:r w:rsidRPr="00D528FE">
        <w:rPr>
          <w:rFonts w:ascii="Times New Roman" w:hAnsi="Times New Roman" w:cs="Times New Roman"/>
          <w:sz w:val="20"/>
          <w:szCs w:val="24"/>
        </w:rPr>
        <w:t>m</w:t>
      </w:r>
      <w:r w:rsidRPr="00D528FE">
        <w:rPr>
          <w:rFonts w:ascii="Times New Roman" w:hAnsi="Times New Roman" w:cs="Times New Roman"/>
          <w:sz w:val="20"/>
          <w:szCs w:val="24"/>
          <w:vertAlign w:val="superscript"/>
        </w:rPr>
        <w:t>3</w:t>
      </w:r>
      <w:r w:rsidRPr="00D528FE">
        <w:rPr>
          <w:rFonts w:ascii="Times New Roman" w:hAnsi="Times New Roman" w:cs="Times New Roman"/>
          <w:sz w:val="20"/>
          <w:szCs w:val="24"/>
        </w:rPr>
        <w:t xml:space="preserve"> and 10</w:t>
      </w:r>
      <w:r w:rsidR="00D528FE">
        <w:rPr>
          <w:rFonts w:ascii="Times New Roman" w:hAnsi="Times New Roman" w:cs="Times New Roman"/>
          <w:sz w:val="20"/>
          <w:szCs w:val="24"/>
        </w:rPr>
        <w:t xml:space="preserve"> </w:t>
      </w:r>
      <w:r w:rsidRPr="00D528FE">
        <w:rPr>
          <w:rFonts w:ascii="Times New Roman" w:hAnsi="Times New Roman" w:cs="Times New Roman"/>
          <w:sz w:val="20"/>
          <w:szCs w:val="24"/>
        </w:rPr>
        <w:t>m</w:t>
      </w:r>
      <w:r w:rsidRPr="00D528FE">
        <w:rPr>
          <w:rFonts w:ascii="Times New Roman" w:hAnsi="Times New Roman" w:cs="Times New Roman"/>
          <w:sz w:val="20"/>
          <w:szCs w:val="24"/>
          <w:vertAlign w:val="superscript"/>
        </w:rPr>
        <w:t>3</w:t>
      </w:r>
      <w:r w:rsidRPr="00D528FE">
        <w:rPr>
          <w:rFonts w:ascii="Times New Roman" w:hAnsi="Times New Roman" w:cs="Times New Roman"/>
          <w:sz w:val="20"/>
          <w:szCs w:val="24"/>
        </w:rPr>
        <w:t xml:space="preserve"> digesters were used in 69 (43.5%) and 3 (1.8%) of the plants, respectively. Hence, the annual fuelwood savings from using biogas technology per household was calculated to be 1856.78 kg per year, with an annual Carbon dioxide (CO</w:t>
      </w:r>
      <w:r w:rsidRPr="00D528FE">
        <w:rPr>
          <w:rFonts w:ascii="Times New Roman" w:hAnsi="Times New Roman" w:cs="Times New Roman"/>
          <w:sz w:val="20"/>
          <w:szCs w:val="24"/>
          <w:vertAlign w:val="subscript"/>
        </w:rPr>
        <w:t>2</w:t>
      </w:r>
      <w:r w:rsidRPr="00D528FE">
        <w:rPr>
          <w:rFonts w:ascii="Times New Roman" w:hAnsi="Times New Roman" w:cs="Times New Roman"/>
          <w:sz w:val="20"/>
          <w:szCs w:val="24"/>
        </w:rPr>
        <w:t>) emission reduction capacity of 2.75 tons per biogas plant. Consequently, it was projected that all functional biogas plants (111) would save around 305.25 tons of CO</w:t>
      </w:r>
      <w:r w:rsidRPr="00D528FE">
        <w:rPr>
          <w:rFonts w:ascii="Times New Roman" w:hAnsi="Times New Roman" w:cs="Times New Roman"/>
          <w:sz w:val="20"/>
          <w:szCs w:val="24"/>
          <w:vertAlign w:val="subscript"/>
        </w:rPr>
        <w:t>2</w:t>
      </w:r>
      <w:r w:rsidRPr="00D528FE">
        <w:rPr>
          <w:rFonts w:ascii="Times New Roman" w:hAnsi="Times New Roman" w:cs="Times New Roman"/>
          <w:sz w:val="20"/>
          <w:szCs w:val="24"/>
        </w:rPr>
        <w:t xml:space="preserve"> per year. Generally, Biogas has been proven to be a viable technique for reducing reliance on forest resources and mitigating climate change in general. As a result, the country's energy sector should encourage families to embrace biogas technology to enhance fuelwood availability and reduce carbon emissions.</w:t>
      </w:r>
    </w:p>
    <w:p w:rsidR="00B361B0" w:rsidRPr="00B361B0" w:rsidRDefault="00B361B0" w:rsidP="00B361B0">
      <w:pPr>
        <w:spacing w:after="200" w:line="276" w:lineRule="auto"/>
        <w:rPr>
          <w:rFonts w:ascii="Times New Roman" w:hAnsi="Times New Roman" w:cs="Times New Roman"/>
          <w:b/>
          <w:sz w:val="24"/>
          <w:szCs w:val="24"/>
        </w:rPr>
      </w:pPr>
      <w:commentRangeStart w:id="2"/>
      <w:r w:rsidRPr="00B361B0">
        <w:rPr>
          <w:rFonts w:ascii="Times New Roman" w:hAnsi="Times New Roman" w:cs="Times New Roman"/>
          <w:b/>
          <w:sz w:val="24"/>
          <w:szCs w:val="24"/>
        </w:rPr>
        <w:t>Biography</w:t>
      </w:r>
      <w:commentRangeEnd w:id="2"/>
      <w:r>
        <w:rPr>
          <w:rStyle w:val="CommentReference"/>
        </w:rPr>
        <w:commentReference w:id="2"/>
      </w:r>
    </w:p>
    <w:sectPr w:rsidR="00B361B0" w:rsidRPr="00B361B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20T18:36:00Z" w:initials="SS">
    <w:p w:rsidR="00B361B0" w:rsidRDefault="00B361B0">
      <w:pPr>
        <w:pStyle w:val="CommentText"/>
      </w:pPr>
      <w:r>
        <w:rPr>
          <w:rStyle w:val="CommentReference"/>
        </w:rPr>
        <w:annotationRef/>
      </w:r>
      <w:r>
        <w:t>Already published. Please find the below links for your reference.</w:t>
      </w:r>
    </w:p>
    <w:p w:rsidR="00B361B0" w:rsidRDefault="00B361B0">
      <w:pPr>
        <w:pStyle w:val="CommentText"/>
      </w:pPr>
    </w:p>
    <w:p w:rsidR="00B361B0" w:rsidRDefault="00B361B0" w:rsidP="00B361B0">
      <w:pPr>
        <w:pStyle w:val="CommentText"/>
        <w:numPr>
          <w:ilvl w:val="0"/>
          <w:numId w:val="1"/>
        </w:numPr>
      </w:pPr>
      <w:hyperlink r:id="rId1" w:history="1">
        <w:r w:rsidRPr="00033AEC">
          <w:rPr>
            <w:rStyle w:val="Hyperlink"/>
          </w:rPr>
          <w:t>https://www.cell.com/heliyon/fulltext/S2405-8440(21)02074-0?_returnURL=https%3A%2F%2Flinkinghub.elsevier.com%2Fretrieve%2Fpii%2FS2405844021020740%3Fshowall%3Dtrue</w:t>
        </w:r>
      </w:hyperlink>
    </w:p>
    <w:p w:rsidR="00B361B0" w:rsidRDefault="00B361B0" w:rsidP="00B361B0">
      <w:pPr>
        <w:pStyle w:val="CommentText"/>
        <w:numPr>
          <w:ilvl w:val="0"/>
          <w:numId w:val="1"/>
        </w:numPr>
      </w:pPr>
      <w:hyperlink r:id="rId2" w:history="1">
        <w:r w:rsidRPr="00033AEC">
          <w:rPr>
            <w:rStyle w:val="Hyperlink"/>
          </w:rPr>
          <w:t>https://www.sciencedirect.com/science/article/pii/S2405844021020740</w:t>
        </w:r>
      </w:hyperlink>
    </w:p>
    <w:p w:rsidR="00B361B0" w:rsidRDefault="00B361B0" w:rsidP="00B361B0">
      <w:pPr>
        <w:pStyle w:val="CommentText"/>
        <w:numPr>
          <w:ilvl w:val="0"/>
          <w:numId w:val="1"/>
        </w:numPr>
      </w:pPr>
      <w:hyperlink r:id="rId3" w:history="1">
        <w:r w:rsidRPr="00033AEC">
          <w:rPr>
            <w:rStyle w:val="Hyperlink"/>
          </w:rPr>
          <w:t>https://pubmed.ncbi.nlm.nih.gov/34585004/</w:t>
        </w:r>
      </w:hyperlink>
    </w:p>
    <w:p w:rsidR="00B361B0" w:rsidRDefault="00B361B0" w:rsidP="00B361B0">
      <w:pPr>
        <w:pStyle w:val="CommentText"/>
        <w:numPr>
          <w:ilvl w:val="0"/>
          <w:numId w:val="1"/>
        </w:numPr>
      </w:pPr>
      <w:hyperlink r:id="rId4" w:history="1">
        <w:r w:rsidRPr="00033AEC">
          <w:rPr>
            <w:rStyle w:val="Hyperlink"/>
          </w:rPr>
          <w:t>https://www.sciencegate.app/document/10.1016/j.heliyon.2021.e07971</w:t>
        </w:r>
      </w:hyperlink>
    </w:p>
    <w:p w:rsidR="00B361B0" w:rsidRDefault="00B361B0" w:rsidP="00B361B0">
      <w:pPr>
        <w:pStyle w:val="CommentText"/>
        <w:numPr>
          <w:ilvl w:val="0"/>
          <w:numId w:val="1"/>
        </w:numPr>
      </w:pPr>
      <w:hyperlink r:id="rId5" w:history="1">
        <w:r w:rsidRPr="00033AEC">
          <w:rPr>
            <w:rStyle w:val="Hyperlink"/>
          </w:rPr>
          <w:t>https://ouci.dntb.gov.ua/en/works/leXn1xK4/</w:t>
        </w:r>
      </w:hyperlink>
    </w:p>
    <w:p w:rsidR="00B361B0" w:rsidRDefault="00B361B0" w:rsidP="00B361B0">
      <w:pPr>
        <w:pStyle w:val="CommentText"/>
      </w:pPr>
    </w:p>
  </w:comment>
  <w:comment w:id="2" w:author="Swetha Sandala" w:date="2022-09-20T18:35:00Z" w:initials="SS">
    <w:p w:rsidR="00B361B0" w:rsidRDefault="00B361B0">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C3B79"/>
    <w:multiLevelType w:val="hybridMultilevel"/>
    <w:tmpl w:val="D862A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sDA2NTQwNzEzsTA3tzRU0lEKTi0uzszPAykwrAUAPmz8rywAAAA="/>
  </w:docVars>
  <w:rsids>
    <w:rsidRoot w:val="005273A2"/>
    <w:rsid w:val="00083C34"/>
    <w:rsid w:val="0026129F"/>
    <w:rsid w:val="005273A2"/>
    <w:rsid w:val="00560384"/>
    <w:rsid w:val="00602E31"/>
    <w:rsid w:val="00A91488"/>
    <w:rsid w:val="00B361B0"/>
    <w:rsid w:val="00D34A02"/>
    <w:rsid w:val="00D528FE"/>
    <w:rsid w:val="00E1089D"/>
    <w:rsid w:val="00ED15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3A2"/>
    <w:rPr>
      <w:color w:val="0563C1" w:themeColor="hyperlink"/>
      <w:u w:val="single"/>
    </w:rPr>
  </w:style>
  <w:style w:type="character" w:styleId="CommentReference">
    <w:name w:val="annotation reference"/>
    <w:basedOn w:val="DefaultParagraphFont"/>
    <w:uiPriority w:val="99"/>
    <w:semiHidden/>
    <w:unhideWhenUsed/>
    <w:rsid w:val="00B361B0"/>
    <w:rPr>
      <w:sz w:val="16"/>
      <w:szCs w:val="16"/>
    </w:rPr>
  </w:style>
  <w:style w:type="paragraph" w:styleId="CommentText">
    <w:name w:val="annotation text"/>
    <w:basedOn w:val="Normal"/>
    <w:link w:val="CommentTextChar"/>
    <w:uiPriority w:val="99"/>
    <w:semiHidden/>
    <w:unhideWhenUsed/>
    <w:rsid w:val="00B361B0"/>
    <w:pPr>
      <w:spacing w:line="240" w:lineRule="auto"/>
    </w:pPr>
    <w:rPr>
      <w:sz w:val="20"/>
      <w:szCs w:val="20"/>
    </w:rPr>
  </w:style>
  <w:style w:type="character" w:customStyle="1" w:styleId="CommentTextChar">
    <w:name w:val="Comment Text Char"/>
    <w:basedOn w:val="DefaultParagraphFont"/>
    <w:link w:val="CommentText"/>
    <w:uiPriority w:val="99"/>
    <w:semiHidden/>
    <w:rsid w:val="00B361B0"/>
    <w:rPr>
      <w:sz w:val="20"/>
      <w:szCs w:val="20"/>
    </w:rPr>
  </w:style>
  <w:style w:type="paragraph" w:styleId="CommentSubject">
    <w:name w:val="annotation subject"/>
    <w:basedOn w:val="CommentText"/>
    <w:next w:val="CommentText"/>
    <w:link w:val="CommentSubjectChar"/>
    <w:uiPriority w:val="99"/>
    <w:semiHidden/>
    <w:unhideWhenUsed/>
    <w:rsid w:val="00B361B0"/>
    <w:rPr>
      <w:b/>
      <w:bCs/>
    </w:rPr>
  </w:style>
  <w:style w:type="character" w:customStyle="1" w:styleId="CommentSubjectChar">
    <w:name w:val="Comment Subject Char"/>
    <w:basedOn w:val="CommentTextChar"/>
    <w:link w:val="CommentSubject"/>
    <w:uiPriority w:val="99"/>
    <w:semiHidden/>
    <w:rsid w:val="00B361B0"/>
    <w:rPr>
      <w:b/>
      <w:bCs/>
      <w:sz w:val="20"/>
      <w:szCs w:val="20"/>
    </w:rPr>
  </w:style>
  <w:style w:type="paragraph" w:styleId="BalloonText">
    <w:name w:val="Balloon Text"/>
    <w:basedOn w:val="Normal"/>
    <w:link w:val="BalloonTextChar"/>
    <w:uiPriority w:val="99"/>
    <w:semiHidden/>
    <w:unhideWhenUsed/>
    <w:rsid w:val="00B361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61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3A2"/>
    <w:rPr>
      <w:color w:val="0563C1" w:themeColor="hyperlink"/>
      <w:u w:val="single"/>
    </w:rPr>
  </w:style>
  <w:style w:type="character" w:styleId="CommentReference">
    <w:name w:val="annotation reference"/>
    <w:basedOn w:val="DefaultParagraphFont"/>
    <w:uiPriority w:val="99"/>
    <w:semiHidden/>
    <w:unhideWhenUsed/>
    <w:rsid w:val="00B361B0"/>
    <w:rPr>
      <w:sz w:val="16"/>
      <w:szCs w:val="16"/>
    </w:rPr>
  </w:style>
  <w:style w:type="paragraph" w:styleId="CommentText">
    <w:name w:val="annotation text"/>
    <w:basedOn w:val="Normal"/>
    <w:link w:val="CommentTextChar"/>
    <w:uiPriority w:val="99"/>
    <w:semiHidden/>
    <w:unhideWhenUsed/>
    <w:rsid w:val="00B361B0"/>
    <w:pPr>
      <w:spacing w:line="240" w:lineRule="auto"/>
    </w:pPr>
    <w:rPr>
      <w:sz w:val="20"/>
      <w:szCs w:val="20"/>
    </w:rPr>
  </w:style>
  <w:style w:type="character" w:customStyle="1" w:styleId="CommentTextChar">
    <w:name w:val="Comment Text Char"/>
    <w:basedOn w:val="DefaultParagraphFont"/>
    <w:link w:val="CommentText"/>
    <w:uiPriority w:val="99"/>
    <w:semiHidden/>
    <w:rsid w:val="00B361B0"/>
    <w:rPr>
      <w:sz w:val="20"/>
      <w:szCs w:val="20"/>
    </w:rPr>
  </w:style>
  <w:style w:type="paragraph" w:styleId="CommentSubject">
    <w:name w:val="annotation subject"/>
    <w:basedOn w:val="CommentText"/>
    <w:next w:val="CommentText"/>
    <w:link w:val="CommentSubjectChar"/>
    <w:uiPriority w:val="99"/>
    <w:semiHidden/>
    <w:unhideWhenUsed/>
    <w:rsid w:val="00B361B0"/>
    <w:rPr>
      <w:b/>
      <w:bCs/>
    </w:rPr>
  </w:style>
  <w:style w:type="character" w:customStyle="1" w:styleId="CommentSubjectChar">
    <w:name w:val="Comment Subject Char"/>
    <w:basedOn w:val="CommentTextChar"/>
    <w:link w:val="CommentSubject"/>
    <w:uiPriority w:val="99"/>
    <w:semiHidden/>
    <w:rsid w:val="00B361B0"/>
    <w:rPr>
      <w:b/>
      <w:bCs/>
      <w:sz w:val="20"/>
      <w:szCs w:val="20"/>
    </w:rPr>
  </w:style>
  <w:style w:type="paragraph" w:styleId="BalloonText">
    <w:name w:val="Balloon Text"/>
    <w:basedOn w:val="Normal"/>
    <w:link w:val="BalloonTextChar"/>
    <w:uiPriority w:val="99"/>
    <w:semiHidden/>
    <w:unhideWhenUsed/>
    <w:rsid w:val="00B361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61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ubmed.ncbi.nlm.nih.gov/34585004/" TargetMode="External"/><Relationship Id="rId2" Type="http://schemas.openxmlformats.org/officeDocument/2006/relationships/hyperlink" Target="https://www.sciencedirect.com/science/article/pii/S2405844021020740" TargetMode="External"/><Relationship Id="rId1" Type="http://schemas.openxmlformats.org/officeDocument/2006/relationships/hyperlink" Target="https://www.cell.com/heliyon/fulltext/S2405-8440(21)02074-0?_returnURL=https%3A%2F%2Flinkinghub.elsevier.com%2Fretrieve%2Fpii%2FS2405844021020740%3Fshowall%3Dtrue" TargetMode="External"/><Relationship Id="rId5" Type="http://schemas.openxmlformats.org/officeDocument/2006/relationships/hyperlink" Target="https://ouci.dntb.gov.ua/en/works/leXn1xK4/" TargetMode="External"/><Relationship Id="rId4" Type="http://schemas.openxmlformats.org/officeDocument/2006/relationships/hyperlink" Target="https://www.sciencegate.app/document/10.1016/j.heliyon.2021.e07971"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9277F-820A-400B-959F-8928404F5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Swetha Sandala</cp:lastModifiedBy>
  <cp:revision>5</cp:revision>
  <dcterms:created xsi:type="dcterms:W3CDTF">2022-09-09T05:24:00Z</dcterms:created>
  <dcterms:modified xsi:type="dcterms:W3CDTF">2022-09-20T13:06:00Z</dcterms:modified>
</cp:coreProperties>
</file>