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A3614">
      <w:pPr>
        <w:rPr>
          <w:rFonts w:ascii="Times New Roman" w:hAnsi="Times New Roman" w:cs="Times New Roman"/>
          <w:b/>
          <w:sz w:val="32"/>
        </w:rPr>
      </w:pPr>
      <w:bookmarkStart w:id="0" w:name="_GoBack"/>
      <w:r w:rsidRPr="00BA3614">
        <w:rPr>
          <w:rFonts w:ascii="Times New Roman" w:hAnsi="Times New Roman" w:cs="Times New Roman"/>
          <w:b/>
          <w:sz w:val="32"/>
        </w:rPr>
        <w:t>Secondary antibody deficiency as a risk factor of severe infection in solid organ transplantation</w:t>
      </w:r>
    </w:p>
    <w:p w:rsidR="00BA3614" w:rsidRDefault="00BA3614">
      <w:pPr>
        <w:rPr>
          <w:rFonts w:ascii="Times New Roman" w:hAnsi="Times New Roman" w:cs="Times New Roman"/>
          <w:sz w:val="24"/>
        </w:rPr>
      </w:pPr>
      <w:r w:rsidRPr="00BA3614">
        <w:rPr>
          <w:rFonts w:ascii="Times New Roman" w:hAnsi="Times New Roman" w:cs="Times New Roman"/>
          <w:sz w:val="24"/>
        </w:rPr>
        <w:t>Javier Carbone</w:t>
      </w:r>
    </w:p>
    <w:p w:rsidR="00BA3614" w:rsidRPr="00BA3614" w:rsidRDefault="00BA3614" w:rsidP="00BA3614">
      <w:pPr>
        <w:rPr>
          <w:rFonts w:ascii="Times New Roman" w:hAnsi="Times New Roman" w:cs="Times New Roman"/>
        </w:rPr>
      </w:pPr>
      <w:proofErr w:type="spellStart"/>
      <w:r w:rsidRPr="00BA3614">
        <w:rPr>
          <w:rFonts w:ascii="Times New Roman" w:hAnsi="Times New Roman" w:cs="Times New Roman"/>
        </w:rPr>
        <w:t>Puerta</w:t>
      </w:r>
      <w:proofErr w:type="spellEnd"/>
      <w:r w:rsidRPr="00BA3614">
        <w:rPr>
          <w:rFonts w:ascii="Times New Roman" w:hAnsi="Times New Roman" w:cs="Times New Roman"/>
        </w:rPr>
        <w:t xml:space="preserve"> de </w:t>
      </w:r>
      <w:proofErr w:type="spellStart"/>
      <w:r w:rsidRPr="00BA3614">
        <w:rPr>
          <w:rFonts w:ascii="Times New Roman" w:hAnsi="Times New Roman" w:cs="Times New Roman"/>
        </w:rPr>
        <w:t>Hierro</w:t>
      </w:r>
      <w:proofErr w:type="spellEnd"/>
      <w:r w:rsidRPr="00BA3614">
        <w:rPr>
          <w:rFonts w:ascii="Times New Roman" w:hAnsi="Times New Roman" w:cs="Times New Roman"/>
        </w:rPr>
        <w:t xml:space="preserve"> </w:t>
      </w:r>
      <w:proofErr w:type="spellStart"/>
      <w:r w:rsidRPr="00BA3614">
        <w:rPr>
          <w:rFonts w:ascii="Times New Roman" w:hAnsi="Times New Roman" w:cs="Times New Roman"/>
        </w:rPr>
        <w:t>Majadahonda</w:t>
      </w:r>
      <w:proofErr w:type="spellEnd"/>
      <w:r w:rsidRPr="00BA3614">
        <w:rPr>
          <w:rFonts w:ascii="Times New Roman" w:hAnsi="Times New Roman" w:cs="Times New Roman"/>
        </w:rPr>
        <w:t xml:space="preserve"> University Hospital, </w:t>
      </w:r>
      <w:r w:rsidRPr="00BA3614">
        <w:rPr>
          <w:rFonts w:ascii="Times New Roman" w:hAnsi="Times New Roman" w:cs="Times New Roman"/>
        </w:rPr>
        <w:t>Spain</w:t>
      </w:r>
    </w:p>
    <w:p w:rsidR="00BA3614" w:rsidRPr="00BA3614" w:rsidRDefault="00BA3614" w:rsidP="00BA3614">
      <w:pPr>
        <w:jc w:val="center"/>
        <w:rPr>
          <w:rFonts w:ascii="Times New Roman" w:hAnsi="Times New Roman" w:cs="Times New Roman"/>
          <w:b/>
          <w:sz w:val="24"/>
        </w:rPr>
      </w:pPr>
      <w:r w:rsidRPr="00BA3614">
        <w:rPr>
          <w:rFonts w:ascii="Times New Roman" w:hAnsi="Times New Roman" w:cs="Times New Roman"/>
          <w:b/>
          <w:sz w:val="24"/>
        </w:rPr>
        <w:t>Abstract</w:t>
      </w:r>
    </w:p>
    <w:p w:rsidR="00BA3614" w:rsidRPr="00BA3614" w:rsidRDefault="00BA3614" w:rsidP="00BA3614">
      <w:pPr>
        <w:jc w:val="both"/>
        <w:rPr>
          <w:rFonts w:ascii="Times New Roman" w:hAnsi="Times New Roman" w:cs="Times New Roman"/>
          <w:sz w:val="20"/>
        </w:rPr>
      </w:pPr>
      <w:r w:rsidRPr="00BA3614">
        <w:rPr>
          <w:rFonts w:ascii="Times New Roman" w:hAnsi="Times New Roman" w:cs="Times New Roman"/>
          <w:b/>
          <w:sz w:val="20"/>
        </w:rPr>
        <w:t xml:space="preserve">Statement of the </w:t>
      </w:r>
      <w:r w:rsidRPr="00BA3614">
        <w:rPr>
          <w:rFonts w:ascii="Times New Roman" w:hAnsi="Times New Roman" w:cs="Times New Roman"/>
          <w:b/>
          <w:sz w:val="20"/>
        </w:rPr>
        <w:t>problem</w:t>
      </w:r>
      <w:r w:rsidRPr="00BA3614">
        <w:rPr>
          <w:rFonts w:ascii="Times New Roman" w:hAnsi="Times New Roman" w:cs="Times New Roman"/>
          <w:b/>
          <w:sz w:val="20"/>
        </w:rPr>
        <w:t>:</w:t>
      </w:r>
      <w:r>
        <w:rPr>
          <w:rFonts w:ascii="Times New Roman" w:hAnsi="Times New Roman" w:cs="Times New Roman"/>
          <w:sz w:val="20"/>
        </w:rPr>
        <w:t xml:space="preserve"> </w:t>
      </w:r>
      <w:r w:rsidRPr="00BA3614">
        <w:rPr>
          <w:rFonts w:ascii="Times New Roman" w:hAnsi="Times New Roman" w:cs="Times New Roman"/>
          <w:sz w:val="20"/>
        </w:rPr>
        <w:t xml:space="preserve">Infection is still a common cause of death among solid organ recipients including heart, lung, </w:t>
      </w:r>
      <w:proofErr w:type="gramStart"/>
      <w:r w:rsidRPr="00BA3614">
        <w:rPr>
          <w:rFonts w:ascii="Times New Roman" w:hAnsi="Times New Roman" w:cs="Times New Roman"/>
          <w:sz w:val="20"/>
        </w:rPr>
        <w:t>kidney</w:t>
      </w:r>
      <w:proofErr w:type="gramEnd"/>
      <w:r w:rsidRPr="00BA3614">
        <w:rPr>
          <w:rFonts w:ascii="Times New Roman" w:hAnsi="Times New Roman" w:cs="Times New Roman"/>
          <w:sz w:val="20"/>
        </w:rPr>
        <w:t>, liver and intestine transplantation. Very few new tools have been introduced into clinical practice to assess the risk of this complication.</w:t>
      </w:r>
    </w:p>
    <w:p w:rsidR="00BA3614" w:rsidRPr="00BA3614" w:rsidRDefault="00BA3614" w:rsidP="00BA3614">
      <w:pPr>
        <w:jc w:val="both"/>
        <w:rPr>
          <w:rFonts w:ascii="Times New Roman" w:hAnsi="Times New Roman" w:cs="Times New Roman"/>
          <w:sz w:val="20"/>
        </w:rPr>
      </w:pPr>
      <w:r w:rsidRPr="00BA3614">
        <w:rPr>
          <w:rFonts w:ascii="Times New Roman" w:hAnsi="Times New Roman" w:cs="Times New Roman"/>
          <w:sz w:val="20"/>
        </w:rPr>
        <w:t>During the past 20 years we have been involved in the development of single and multicenter studies to assess immune</w:t>
      </w:r>
      <w:r>
        <w:rPr>
          <w:rFonts w:ascii="Times New Roman" w:hAnsi="Times New Roman" w:cs="Times New Roman"/>
          <w:sz w:val="20"/>
        </w:rPr>
        <w:t xml:space="preserve"> </w:t>
      </w:r>
      <w:r w:rsidRPr="00BA3614">
        <w:rPr>
          <w:rFonts w:ascii="Times New Roman" w:hAnsi="Times New Roman" w:cs="Times New Roman"/>
          <w:sz w:val="20"/>
        </w:rPr>
        <w:t xml:space="preserve">monitoring as a tool to identity those recipients at higher risk of having severe infections. The main focus has been the evaluation of secondary antibody deficiency as a risk factor of infection in solid organ recipients. We will share the results of single center, multicenter and </w:t>
      </w:r>
      <w:proofErr w:type="spellStart"/>
      <w:r w:rsidRPr="00BA3614">
        <w:rPr>
          <w:rFonts w:ascii="Times New Roman" w:hAnsi="Times New Roman" w:cs="Times New Roman"/>
          <w:sz w:val="20"/>
        </w:rPr>
        <w:t>metanalysis</w:t>
      </w:r>
      <w:proofErr w:type="spellEnd"/>
      <w:r w:rsidRPr="00BA3614">
        <w:rPr>
          <w:rFonts w:ascii="Times New Roman" w:hAnsi="Times New Roman" w:cs="Times New Roman"/>
          <w:sz w:val="20"/>
        </w:rPr>
        <w:t xml:space="preserve"> studies that have evaluated </w:t>
      </w:r>
      <w:proofErr w:type="spellStart"/>
      <w:r w:rsidRPr="00BA3614">
        <w:rPr>
          <w:rFonts w:ascii="Times New Roman" w:hAnsi="Times New Roman" w:cs="Times New Roman"/>
          <w:sz w:val="20"/>
        </w:rPr>
        <w:t>IgG</w:t>
      </w:r>
      <w:proofErr w:type="spellEnd"/>
      <w:r w:rsidRPr="00BA3614">
        <w:rPr>
          <w:rFonts w:ascii="Times New Roman" w:hAnsi="Times New Roman" w:cs="Times New Roman"/>
          <w:sz w:val="20"/>
        </w:rPr>
        <w:t xml:space="preserve"> </w:t>
      </w:r>
      <w:proofErr w:type="spellStart"/>
      <w:r w:rsidRPr="00BA3614">
        <w:rPr>
          <w:rFonts w:ascii="Times New Roman" w:hAnsi="Times New Roman" w:cs="Times New Roman"/>
          <w:sz w:val="20"/>
        </w:rPr>
        <w:t>hypogammaglobulinemia</w:t>
      </w:r>
      <w:proofErr w:type="spellEnd"/>
      <w:r w:rsidRPr="00BA3614">
        <w:rPr>
          <w:rFonts w:ascii="Times New Roman" w:hAnsi="Times New Roman" w:cs="Times New Roman"/>
          <w:sz w:val="20"/>
        </w:rPr>
        <w:t xml:space="preserve"> as a risk factor of infection. Also the assessment of specific antibodies will be disclosed in the presentation. Both components have been recently introduced as an updated indication for therapy with intravenous immunoglobulins in patients with secondary antibody deficiencies. We will also disclose our results on the use of intravenous immunoglobulin to prevent and treat infections in solid organ recipients. </w:t>
      </w:r>
    </w:p>
    <w:p w:rsidR="00BA3614" w:rsidRDefault="00BA3614" w:rsidP="00BA3614">
      <w:pPr>
        <w:jc w:val="both"/>
        <w:rPr>
          <w:rFonts w:ascii="Times New Roman" w:hAnsi="Times New Roman" w:cs="Times New Roman"/>
          <w:sz w:val="20"/>
        </w:rPr>
      </w:pPr>
      <w:r w:rsidRPr="00BA3614">
        <w:rPr>
          <w:rFonts w:ascii="Times New Roman" w:hAnsi="Times New Roman" w:cs="Times New Roman"/>
          <w:b/>
          <w:sz w:val="20"/>
        </w:rPr>
        <w:t>Conclusion</w:t>
      </w:r>
      <w:r w:rsidRPr="00BA3614">
        <w:rPr>
          <w:rFonts w:ascii="Times New Roman" w:hAnsi="Times New Roman" w:cs="Times New Roman"/>
          <w:b/>
          <w:sz w:val="20"/>
        </w:rPr>
        <w:t>:</w:t>
      </w:r>
      <w:r w:rsidRPr="00BA3614">
        <w:rPr>
          <w:rFonts w:ascii="Times New Roman" w:hAnsi="Times New Roman" w:cs="Times New Roman"/>
          <w:sz w:val="20"/>
        </w:rPr>
        <w:t xml:space="preserve"> Immune</w:t>
      </w:r>
      <w:r>
        <w:rPr>
          <w:rFonts w:ascii="Times New Roman" w:hAnsi="Times New Roman" w:cs="Times New Roman"/>
          <w:sz w:val="20"/>
        </w:rPr>
        <w:t xml:space="preserve"> </w:t>
      </w:r>
      <w:r w:rsidRPr="00BA3614">
        <w:rPr>
          <w:rFonts w:ascii="Times New Roman" w:hAnsi="Times New Roman" w:cs="Times New Roman"/>
          <w:sz w:val="20"/>
        </w:rPr>
        <w:t xml:space="preserve">monitoring of </w:t>
      </w:r>
      <w:proofErr w:type="spellStart"/>
      <w:r w:rsidRPr="00BA3614">
        <w:rPr>
          <w:rFonts w:ascii="Times New Roman" w:hAnsi="Times New Roman" w:cs="Times New Roman"/>
          <w:sz w:val="20"/>
        </w:rPr>
        <w:t>humoral</w:t>
      </w:r>
      <w:proofErr w:type="spellEnd"/>
      <w:r w:rsidRPr="00BA3614">
        <w:rPr>
          <w:rFonts w:ascii="Times New Roman" w:hAnsi="Times New Roman" w:cs="Times New Roman"/>
          <w:sz w:val="20"/>
        </w:rPr>
        <w:t xml:space="preserve"> immunity is an important tool to detect the risk of severe infection in solid organ transplantation. This tool has been introduced in recent clinical guidelines to deal with severe infection after transplantation. A modification of the EMA guideline for the indication of intravenous immunoglobulin between 2017 and 2019 was influenced in part by these hazards. This has been an important advance, a modification in clinical practice that will impact in lower rates of infections and deaths in the next years among immunosuppressed patients because of transplant procedures. In addition this will be a model for other secondary antibody deficiency states.</w:t>
      </w:r>
    </w:p>
    <w:p w:rsidR="00BA3614" w:rsidRPr="00BA3614" w:rsidRDefault="00BA3614" w:rsidP="00BA3614">
      <w:pPr>
        <w:rPr>
          <w:rFonts w:ascii="Times New Roman" w:hAnsi="Times New Roman" w:cs="Times New Roman"/>
          <w:b/>
          <w:sz w:val="24"/>
        </w:rPr>
      </w:pPr>
      <w:r w:rsidRPr="00BA3614">
        <w:rPr>
          <w:rFonts w:ascii="Times New Roman" w:hAnsi="Times New Roman" w:cs="Times New Roman"/>
          <w:b/>
          <w:sz w:val="24"/>
        </w:rPr>
        <w:t>Biography</w:t>
      </w:r>
    </w:p>
    <w:p w:rsidR="00BA3614" w:rsidRPr="00BA3614" w:rsidRDefault="00BA3614" w:rsidP="00BA3614">
      <w:pPr>
        <w:jc w:val="both"/>
        <w:rPr>
          <w:rFonts w:ascii="Times New Roman" w:hAnsi="Times New Roman" w:cs="Times New Roman"/>
          <w:sz w:val="24"/>
        </w:rPr>
      </w:pPr>
      <w:r w:rsidRPr="00BA3614">
        <w:rPr>
          <w:rFonts w:ascii="Times New Roman" w:hAnsi="Times New Roman" w:cs="Times New Roman"/>
          <w:sz w:val="20"/>
        </w:rPr>
        <w:t xml:space="preserve">Javier Carbone has his expertise in evaluation and passion in improving the health and wellbeing. He is a leading expert in transplant immunology. </w:t>
      </w:r>
      <w:r>
        <w:rPr>
          <w:rFonts w:ascii="Times New Roman" w:hAnsi="Times New Roman" w:cs="Times New Roman"/>
          <w:sz w:val="20"/>
        </w:rPr>
        <w:t xml:space="preserve">He is a </w:t>
      </w:r>
      <w:r w:rsidRPr="00BA3614">
        <w:rPr>
          <w:rFonts w:ascii="Times New Roman" w:hAnsi="Times New Roman" w:cs="Times New Roman"/>
          <w:sz w:val="20"/>
        </w:rPr>
        <w:t>Member of the International Society of Heart and Lung Transplantation, Transplantation Society, Clinical Immunology Society, European Society for Organ Transplantation. His open and contextual evaluation of secondary antibody deficiency in solid organ transplantation has changed clinical practice and improving healthcare for these high vulnerable patients. He has built this model after 20 years of experience in research, evaluation, teaching and administration of immune based therapies.</w:t>
      </w:r>
      <w:bookmarkEnd w:id="0"/>
    </w:p>
    <w:sectPr w:rsidR="00BA3614" w:rsidRPr="00BA36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614"/>
    <w:rsid w:val="00474203"/>
    <w:rsid w:val="00535872"/>
    <w:rsid w:val="00924B33"/>
    <w:rsid w:val="00BA3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400</Words>
  <Characters>2282</Characters>
  <Application>Microsoft Office Word</Application>
  <DocSecurity>0</DocSecurity>
  <Lines>19</Lines>
  <Paragraphs>5</Paragraphs>
  <ScaleCrop>false</ScaleCrop>
  <Company/>
  <LinksUpToDate>false</LinksUpToDate>
  <CharactersWithSpaces>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2022-10-20T09:19:00Z</dcterms:created>
  <dcterms:modified xsi:type="dcterms:W3CDTF">2022-10-20T09:23:00Z</dcterms:modified>
</cp:coreProperties>
</file>