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544A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544A6">
        <w:rPr>
          <w:rFonts w:ascii="Times New Roman" w:hAnsi="Times New Roman" w:cs="Times New Roman"/>
          <w:b/>
          <w:sz w:val="32"/>
        </w:rPr>
        <w:t xml:space="preserve">TRPV2 plays a critical role in </w:t>
      </w:r>
      <w:proofErr w:type="spellStart"/>
      <w:r w:rsidRPr="00E544A6">
        <w:rPr>
          <w:rFonts w:ascii="Times New Roman" w:hAnsi="Times New Roman" w:cs="Times New Roman"/>
          <w:b/>
          <w:sz w:val="32"/>
        </w:rPr>
        <w:t>hepoxilin</w:t>
      </w:r>
      <w:proofErr w:type="spellEnd"/>
      <w:r w:rsidRPr="00E544A6">
        <w:rPr>
          <w:rFonts w:ascii="Times New Roman" w:hAnsi="Times New Roman" w:cs="Times New Roman"/>
          <w:b/>
          <w:sz w:val="32"/>
        </w:rPr>
        <w:t xml:space="preserve"> A</w:t>
      </w:r>
      <w:r w:rsidRPr="00E544A6">
        <w:rPr>
          <w:rFonts w:ascii="Times New Roman" w:hAnsi="Times New Roman" w:cs="Times New Roman"/>
          <w:b/>
          <w:sz w:val="32"/>
          <w:vertAlign w:val="subscript"/>
        </w:rPr>
        <w:t>3</w:t>
      </w:r>
      <w:r w:rsidRPr="00E544A6">
        <w:rPr>
          <w:rFonts w:ascii="Times New Roman" w:hAnsi="Times New Roman" w:cs="Times New Roman"/>
          <w:b/>
          <w:sz w:val="32"/>
        </w:rPr>
        <w:t xml:space="preserve">-medited neutrophil </w:t>
      </w:r>
      <w:proofErr w:type="spellStart"/>
      <w:r w:rsidRPr="00E544A6">
        <w:rPr>
          <w:rFonts w:ascii="Times New Roman" w:hAnsi="Times New Roman" w:cs="Times New Roman"/>
          <w:b/>
          <w:sz w:val="32"/>
        </w:rPr>
        <w:t>transepithelial</w:t>
      </w:r>
      <w:proofErr w:type="spellEnd"/>
      <w:r w:rsidRPr="00E544A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E544A6">
        <w:rPr>
          <w:rFonts w:ascii="Times New Roman" w:hAnsi="Times New Roman" w:cs="Times New Roman"/>
          <w:b/>
          <w:sz w:val="32"/>
        </w:rPr>
        <w:t>chemotaxis</w:t>
      </w:r>
      <w:proofErr w:type="spellEnd"/>
    </w:p>
    <w:p w:rsidR="00E544A6" w:rsidRDefault="00E544A6">
      <w:pPr>
        <w:rPr>
          <w:rFonts w:ascii="Times New Roman" w:hAnsi="Times New Roman" w:cs="Times New Roman"/>
          <w:sz w:val="24"/>
          <w:vertAlign w:val="superscript"/>
        </w:rPr>
      </w:pPr>
      <w:r w:rsidRPr="00E544A6">
        <w:rPr>
          <w:rFonts w:ascii="Times New Roman" w:hAnsi="Times New Roman" w:cs="Times New Roman"/>
          <w:sz w:val="24"/>
        </w:rPr>
        <w:t>Claudia Ferrioti</w:t>
      </w:r>
      <w:r w:rsidRPr="00E544A6">
        <w:rPr>
          <w:rFonts w:ascii="Times New Roman" w:hAnsi="Times New Roman" w:cs="Times New Roman"/>
          <w:sz w:val="24"/>
          <w:vertAlign w:val="superscript"/>
        </w:rPr>
        <w:t>1</w:t>
      </w:r>
      <w:r w:rsidR="0074378E">
        <w:rPr>
          <w:rFonts w:ascii="Times New Roman" w:hAnsi="Times New Roman" w:cs="Times New Roman"/>
          <w:sz w:val="24"/>
        </w:rPr>
        <w:t>*</w:t>
      </w:r>
      <w:r w:rsidRPr="00E544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4A6">
        <w:rPr>
          <w:rFonts w:ascii="Times New Roman" w:hAnsi="Times New Roman" w:cs="Times New Roman"/>
          <w:sz w:val="24"/>
        </w:rPr>
        <w:t>Merran</w:t>
      </w:r>
      <w:proofErr w:type="spellEnd"/>
      <w:r w:rsidRPr="00E544A6">
        <w:rPr>
          <w:rFonts w:ascii="Times New Roman" w:hAnsi="Times New Roman" w:cs="Times New Roman"/>
          <w:sz w:val="24"/>
        </w:rPr>
        <w:t xml:space="preserve"> Dunford</w:t>
      </w:r>
      <w:r w:rsidRPr="00E544A6">
        <w:rPr>
          <w:rFonts w:ascii="Times New Roman" w:hAnsi="Times New Roman" w:cs="Times New Roman"/>
          <w:sz w:val="24"/>
          <w:vertAlign w:val="superscript"/>
        </w:rPr>
        <w:t>1</w:t>
      </w:r>
      <w:r w:rsidRPr="00E544A6">
        <w:rPr>
          <w:rFonts w:ascii="Times New Roman" w:hAnsi="Times New Roman" w:cs="Times New Roman"/>
          <w:sz w:val="24"/>
        </w:rPr>
        <w:t>, Rebecca Ferrisi</w:t>
      </w:r>
      <w:r w:rsidRPr="00E544A6">
        <w:rPr>
          <w:rFonts w:ascii="Times New Roman" w:hAnsi="Times New Roman" w:cs="Times New Roman"/>
          <w:sz w:val="24"/>
          <w:vertAlign w:val="superscript"/>
        </w:rPr>
        <w:t>2</w:t>
      </w:r>
      <w:r w:rsidRPr="00E544A6">
        <w:rPr>
          <w:rFonts w:ascii="Times New Roman" w:hAnsi="Times New Roman" w:cs="Times New Roman"/>
          <w:sz w:val="24"/>
        </w:rPr>
        <w:t>, Francesca Gado</w:t>
      </w:r>
      <w:r w:rsidRPr="00E544A6">
        <w:rPr>
          <w:rFonts w:ascii="Times New Roman" w:hAnsi="Times New Roman" w:cs="Times New Roman"/>
          <w:sz w:val="24"/>
          <w:vertAlign w:val="superscript"/>
        </w:rPr>
        <w:t>2</w:t>
      </w:r>
      <w:r w:rsidRPr="00E544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4A6">
        <w:rPr>
          <w:rFonts w:ascii="Times New Roman" w:hAnsi="Times New Roman" w:cs="Times New Roman"/>
          <w:sz w:val="24"/>
        </w:rPr>
        <w:t>Clementina</w:t>
      </w:r>
      <w:proofErr w:type="spellEnd"/>
      <w:r w:rsidRPr="00E544A6">
        <w:rPr>
          <w:rFonts w:ascii="Times New Roman" w:hAnsi="Times New Roman" w:cs="Times New Roman"/>
          <w:sz w:val="24"/>
        </w:rPr>
        <w:t xml:space="preserve"> Manera</w:t>
      </w:r>
      <w:r w:rsidRPr="00E544A6">
        <w:rPr>
          <w:rFonts w:ascii="Times New Roman" w:hAnsi="Times New Roman" w:cs="Times New Roman"/>
          <w:sz w:val="24"/>
          <w:vertAlign w:val="superscript"/>
        </w:rPr>
        <w:t>2</w:t>
      </w:r>
      <w:r w:rsidRPr="00E544A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544A6">
        <w:rPr>
          <w:rFonts w:ascii="Times New Roman" w:hAnsi="Times New Roman" w:cs="Times New Roman"/>
          <w:sz w:val="24"/>
        </w:rPr>
        <w:t>Keyi</w:t>
      </w:r>
      <w:proofErr w:type="spellEnd"/>
      <w:r w:rsidRPr="00E544A6">
        <w:rPr>
          <w:rFonts w:ascii="Times New Roman" w:hAnsi="Times New Roman" w:cs="Times New Roman"/>
          <w:sz w:val="24"/>
        </w:rPr>
        <w:t xml:space="preserve"> Liu</w:t>
      </w:r>
      <w:r w:rsidRPr="00E544A6">
        <w:rPr>
          <w:rFonts w:ascii="Times New Roman" w:hAnsi="Times New Roman" w:cs="Times New Roman"/>
          <w:sz w:val="24"/>
          <w:vertAlign w:val="superscript"/>
        </w:rPr>
        <w:t>3</w:t>
      </w:r>
      <w:r w:rsidRPr="00E544A6">
        <w:rPr>
          <w:rFonts w:ascii="Times New Roman" w:hAnsi="Times New Roman" w:cs="Times New Roman"/>
          <w:sz w:val="24"/>
        </w:rPr>
        <w:t>, Beth McCormick</w:t>
      </w:r>
      <w:r w:rsidRPr="00E544A6">
        <w:rPr>
          <w:rFonts w:ascii="Times New Roman" w:hAnsi="Times New Roman" w:cs="Times New Roman"/>
          <w:sz w:val="24"/>
          <w:vertAlign w:val="superscript"/>
        </w:rPr>
        <w:t>4</w:t>
      </w:r>
      <w:r w:rsidRPr="00E544A6">
        <w:rPr>
          <w:rFonts w:ascii="Times New Roman" w:hAnsi="Times New Roman" w:cs="Times New Roman"/>
          <w:sz w:val="24"/>
        </w:rPr>
        <w:t xml:space="preserve"> and Randall Mrsny</w:t>
      </w:r>
      <w:r w:rsidRPr="00E544A6">
        <w:rPr>
          <w:rFonts w:ascii="Times New Roman" w:hAnsi="Times New Roman" w:cs="Times New Roman"/>
          <w:sz w:val="24"/>
          <w:vertAlign w:val="superscript"/>
        </w:rPr>
        <w:t>1</w:t>
      </w:r>
    </w:p>
    <w:p w:rsidR="00E544A6" w:rsidRPr="0074378E" w:rsidRDefault="00E544A6" w:rsidP="0074378E">
      <w:pPr>
        <w:spacing w:after="0"/>
        <w:rPr>
          <w:rFonts w:ascii="Times New Roman" w:hAnsi="Times New Roman" w:cs="Times New Roman"/>
        </w:rPr>
      </w:pPr>
      <w:r w:rsidRPr="0074378E">
        <w:rPr>
          <w:rFonts w:ascii="Times New Roman" w:hAnsi="Times New Roman" w:cs="Times New Roman"/>
          <w:vertAlign w:val="superscript"/>
        </w:rPr>
        <w:t>1</w:t>
      </w:r>
      <w:r w:rsidRPr="0074378E">
        <w:rPr>
          <w:rFonts w:ascii="Times New Roman" w:hAnsi="Times New Roman" w:cs="Times New Roman"/>
        </w:rPr>
        <w:t>University of Bath, UK</w:t>
      </w:r>
    </w:p>
    <w:p w:rsidR="00E544A6" w:rsidRPr="0074378E" w:rsidRDefault="00E544A6" w:rsidP="0074378E">
      <w:pPr>
        <w:spacing w:after="0"/>
        <w:rPr>
          <w:rFonts w:ascii="Times New Roman" w:hAnsi="Times New Roman" w:cs="Times New Roman"/>
        </w:rPr>
      </w:pPr>
      <w:r w:rsidRPr="0074378E">
        <w:rPr>
          <w:rFonts w:ascii="Times New Roman" w:hAnsi="Times New Roman" w:cs="Times New Roman"/>
          <w:vertAlign w:val="superscript"/>
        </w:rPr>
        <w:t>2</w:t>
      </w:r>
      <w:r w:rsidRPr="0074378E">
        <w:rPr>
          <w:rFonts w:ascii="Times New Roman" w:hAnsi="Times New Roman" w:cs="Times New Roman"/>
        </w:rPr>
        <w:t>University of Pisa, Italy</w:t>
      </w:r>
    </w:p>
    <w:p w:rsidR="00E544A6" w:rsidRPr="0074378E" w:rsidRDefault="00E544A6" w:rsidP="0074378E">
      <w:pPr>
        <w:spacing w:after="0"/>
        <w:rPr>
          <w:rFonts w:ascii="Times New Roman" w:hAnsi="Times New Roman" w:cs="Times New Roman"/>
        </w:rPr>
      </w:pPr>
      <w:r w:rsidRPr="0074378E">
        <w:rPr>
          <w:rFonts w:ascii="Times New Roman" w:hAnsi="Times New Roman" w:cs="Times New Roman"/>
          <w:vertAlign w:val="superscript"/>
        </w:rPr>
        <w:t>3</w:t>
      </w:r>
      <w:r w:rsidRPr="0074378E">
        <w:rPr>
          <w:rFonts w:ascii="Times New Roman" w:hAnsi="Times New Roman" w:cs="Times New Roman"/>
        </w:rPr>
        <w:t>Applied Molecular Transport, USA</w:t>
      </w:r>
    </w:p>
    <w:p w:rsidR="00E544A6" w:rsidRPr="0074378E" w:rsidRDefault="0074378E">
      <w:pPr>
        <w:rPr>
          <w:rFonts w:ascii="Times New Roman" w:hAnsi="Times New Roman" w:cs="Times New Roman"/>
        </w:rPr>
      </w:pPr>
      <w:r w:rsidRPr="0074378E">
        <w:rPr>
          <w:rFonts w:ascii="Times New Roman" w:hAnsi="Times New Roman" w:cs="Times New Roman"/>
          <w:vertAlign w:val="superscript"/>
        </w:rPr>
        <w:t>4</w:t>
      </w:r>
      <w:r w:rsidRPr="0074378E">
        <w:rPr>
          <w:rFonts w:ascii="Times New Roman" w:hAnsi="Times New Roman" w:cs="Times New Roman"/>
        </w:rPr>
        <w:t>University of Massachusetts Medical School, USA</w:t>
      </w:r>
    </w:p>
    <w:p w:rsidR="0074378E" w:rsidRPr="0074378E" w:rsidRDefault="0074378E" w:rsidP="0074378E">
      <w:pPr>
        <w:jc w:val="center"/>
        <w:rPr>
          <w:rFonts w:ascii="Times New Roman" w:hAnsi="Times New Roman" w:cs="Times New Roman"/>
          <w:b/>
          <w:sz w:val="24"/>
        </w:rPr>
      </w:pPr>
      <w:r w:rsidRPr="0074378E">
        <w:rPr>
          <w:rFonts w:ascii="Times New Roman" w:hAnsi="Times New Roman" w:cs="Times New Roman"/>
          <w:b/>
          <w:sz w:val="24"/>
        </w:rPr>
        <w:t>Abstract</w:t>
      </w:r>
    </w:p>
    <w:p w:rsidR="0074378E" w:rsidRDefault="0074378E" w:rsidP="0074378E">
      <w:pPr>
        <w:jc w:val="both"/>
        <w:rPr>
          <w:rFonts w:ascii="Times New Roman" w:hAnsi="Times New Roman" w:cs="Times New Roman"/>
          <w:sz w:val="20"/>
        </w:rPr>
      </w:pPr>
      <w:r w:rsidRPr="0074378E">
        <w:rPr>
          <w:rFonts w:ascii="Times New Roman" w:hAnsi="Times New Roman" w:cs="Times New Roman"/>
          <w:b/>
          <w:bCs/>
          <w:sz w:val="20"/>
        </w:rPr>
        <w:t xml:space="preserve">Purpose: </w:t>
      </w:r>
      <w:r w:rsidRPr="0074378E">
        <w:rPr>
          <w:rFonts w:ascii="Times New Roman" w:hAnsi="Times New Roman" w:cs="Times New Roman"/>
          <w:sz w:val="20"/>
        </w:rPr>
        <w:t xml:space="preserve">Neutrophil </w:t>
      </w:r>
      <w:proofErr w:type="spellStart"/>
      <w:r w:rsidRPr="0074378E">
        <w:rPr>
          <w:rFonts w:ascii="Times New Roman" w:hAnsi="Times New Roman" w:cs="Times New Roman"/>
          <w:sz w:val="20"/>
        </w:rPr>
        <w:t>transepithelial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migration and accumulation at mucosal surfaces is a hallmark of many inflammatory conditions. Recent studies have demonstrated lipids secreted from the luminal surface of intestinal epithelial cells to regulate this event with N-</w:t>
      </w:r>
      <w:r w:rsidRPr="0074378E">
        <w:rPr>
          <w:rFonts w:ascii="Times New Roman" w:hAnsi="Times New Roman" w:cs="Times New Roman"/>
          <w:sz w:val="20"/>
        </w:rPr>
        <w:t>Acyl Ethanolamine</w:t>
      </w:r>
      <w:r w:rsidRPr="0074378E">
        <w:rPr>
          <w:rFonts w:ascii="Times New Roman" w:hAnsi="Times New Roman" w:cs="Times New Roman"/>
          <w:sz w:val="20"/>
        </w:rPr>
        <w:t xml:space="preserve">-type (NAE) </w:t>
      </w:r>
      <w:proofErr w:type="spellStart"/>
      <w:r w:rsidRPr="0074378E">
        <w:rPr>
          <w:rFonts w:ascii="Times New Roman" w:hAnsi="Times New Roman" w:cs="Times New Roman"/>
          <w:sz w:val="20"/>
        </w:rPr>
        <w:t>endo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74378E">
        <w:rPr>
          <w:rFonts w:ascii="Times New Roman" w:hAnsi="Times New Roman" w:cs="Times New Roman"/>
          <w:sz w:val="20"/>
        </w:rPr>
        <w:t xml:space="preserve">Cannabinoids </w:t>
      </w:r>
      <w:r w:rsidRPr="0074378E">
        <w:rPr>
          <w:rFonts w:ascii="Times New Roman" w:hAnsi="Times New Roman" w:cs="Times New Roman"/>
          <w:sz w:val="20"/>
        </w:rPr>
        <w:t>(</w:t>
      </w:r>
      <w:proofErr w:type="spellStart"/>
      <w:r w:rsidRPr="0074378E">
        <w:rPr>
          <w:rFonts w:ascii="Times New Roman" w:hAnsi="Times New Roman" w:cs="Times New Roman"/>
          <w:sz w:val="20"/>
        </w:rPr>
        <w:t>eCBs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) suppressing and the eicosanoid </w:t>
      </w:r>
      <w:proofErr w:type="spellStart"/>
      <w:r w:rsidRPr="0074378E">
        <w:rPr>
          <w:rFonts w:ascii="Times New Roman" w:hAnsi="Times New Roman" w:cs="Times New Roman"/>
          <w:sz w:val="20"/>
        </w:rPr>
        <w:t>Hepoxilin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</w:t>
      </w:r>
      <w:r w:rsidRPr="0074378E">
        <w:rPr>
          <w:rFonts w:ascii="Times New Roman" w:hAnsi="Times New Roman" w:cs="Times New Roman"/>
          <w:sz w:val="20"/>
        </w:rPr>
        <w:t>A</w:t>
      </w:r>
      <w:r w:rsidRPr="0074378E">
        <w:rPr>
          <w:rFonts w:ascii="Times New Roman" w:hAnsi="Times New Roman" w:cs="Times New Roman"/>
          <w:sz w:val="20"/>
          <w:vertAlign w:val="subscript"/>
        </w:rPr>
        <w:t>3</w:t>
      </w:r>
      <w:r w:rsidRPr="0074378E">
        <w:rPr>
          <w:rFonts w:ascii="Times New Roman" w:hAnsi="Times New Roman" w:cs="Times New Roman"/>
          <w:sz w:val="20"/>
        </w:rPr>
        <w:t xml:space="preserve"> (HxA</w:t>
      </w:r>
      <w:r w:rsidRPr="0074378E">
        <w:rPr>
          <w:rFonts w:ascii="Times New Roman" w:hAnsi="Times New Roman" w:cs="Times New Roman"/>
          <w:sz w:val="20"/>
          <w:vertAlign w:val="subscript"/>
        </w:rPr>
        <w:t>3</w:t>
      </w:r>
      <w:r w:rsidRPr="0074378E">
        <w:rPr>
          <w:rFonts w:ascii="Times New Roman" w:hAnsi="Times New Roman" w:cs="Times New Roman"/>
          <w:sz w:val="20"/>
        </w:rPr>
        <w:t xml:space="preserve">) </w:t>
      </w:r>
      <w:bookmarkStart w:id="1" w:name="OLE_LINK1"/>
      <w:r w:rsidRPr="0074378E">
        <w:rPr>
          <w:rFonts w:ascii="Times New Roman" w:hAnsi="Times New Roman" w:cs="Times New Roman"/>
          <w:sz w:val="20"/>
        </w:rPr>
        <w:t xml:space="preserve">activating the </w:t>
      </w:r>
      <w:proofErr w:type="spellStart"/>
      <w:r w:rsidRPr="0074378E">
        <w:rPr>
          <w:rFonts w:ascii="Times New Roman" w:hAnsi="Times New Roman" w:cs="Times New Roman"/>
          <w:sz w:val="20"/>
        </w:rPr>
        <w:t>chemotaxis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of neutrophils </w:t>
      </w:r>
      <w:bookmarkEnd w:id="1"/>
      <w:r w:rsidRPr="0074378E">
        <w:rPr>
          <w:rFonts w:ascii="Times New Roman" w:hAnsi="Times New Roman" w:cs="Times New Roman"/>
          <w:sz w:val="20"/>
        </w:rPr>
        <w:t xml:space="preserve">across this mucosal barrier. We hypothesized that directional </w:t>
      </w:r>
      <w:proofErr w:type="spellStart"/>
      <w:r w:rsidRPr="0074378E">
        <w:rPr>
          <w:rFonts w:ascii="Times New Roman" w:hAnsi="Times New Roman" w:cs="Times New Roman"/>
          <w:sz w:val="20"/>
        </w:rPr>
        <w:t>chemotaxis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of neutrophils mediated by HxA</w:t>
      </w:r>
      <w:r w:rsidRPr="0074378E">
        <w:rPr>
          <w:rFonts w:ascii="Times New Roman" w:hAnsi="Times New Roman" w:cs="Times New Roman"/>
          <w:sz w:val="20"/>
          <w:vertAlign w:val="subscript"/>
        </w:rPr>
        <w:t>3</w:t>
      </w:r>
      <w:r w:rsidRPr="0074378E">
        <w:rPr>
          <w:rFonts w:ascii="Times New Roman" w:hAnsi="Times New Roman" w:cs="Times New Roman"/>
          <w:sz w:val="20"/>
        </w:rPr>
        <w:t xml:space="preserve"> should involve cell-surface receptor(s). Here, we identify a role for the </w:t>
      </w:r>
      <w:r w:rsidRPr="0074378E">
        <w:rPr>
          <w:rFonts w:ascii="Times New Roman" w:hAnsi="Times New Roman" w:cs="Times New Roman"/>
          <w:sz w:val="20"/>
        </w:rPr>
        <w:t xml:space="preserve">Transient Receptor Potential </w:t>
      </w:r>
      <w:proofErr w:type="spellStart"/>
      <w:r w:rsidRPr="0074378E">
        <w:rPr>
          <w:rFonts w:ascii="Times New Roman" w:hAnsi="Times New Roman" w:cs="Times New Roman"/>
          <w:sz w:val="20"/>
        </w:rPr>
        <w:t>cation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channel subfamily V member 2 (TRPV2) in HxA</w:t>
      </w:r>
      <w:r w:rsidRPr="0074378E">
        <w:rPr>
          <w:rFonts w:ascii="Times New Roman" w:hAnsi="Times New Roman" w:cs="Times New Roman"/>
          <w:sz w:val="20"/>
          <w:vertAlign w:val="subscript"/>
        </w:rPr>
        <w:t>3</w:t>
      </w:r>
      <w:r w:rsidRPr="0074378E">
        <w:rPr>
          <w:rFonts w:ascii="Times New Roman" w:hAnsi="Times New Roman" w:cs="Times New Roman"/>
          <w:sz w:val="20"/>
        </w:rPr>
        <w:t xml:space="preserve">-mediated </w:t>
      </w:r>
      <w:proofErr w:type="spellStart"/>
      <w:r w:rsidRPr="0074378E">
        <w:rPr>
          <w:rFonts w:ascii="Times New Roman" w:hAnsi="Times New Roman" w:cs="Times New Roman"/>
          <w:sz w:val="20"/>
        </w:rPr>
        <w:t>chemotaxis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that drives neutrophil </w:t>
      </w:r>
      <w:proofErr w:type="spellStart"/>
      <w:r w:rsidRPr="0074378E">
        <w:rPr>
          <w:rFonts w:ascii="Times New Roman" w:hAnsi="Times New Roman" w:cs="Times New Roman"/>
          <w:sz w:val="20"/>
        </w:rPr>
        <w:t>transepithelial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migration. </w:t>
      </w:r>
    </w:p>
    <w:p w:rsidR="0074378E" w:rsidRDefault="0074378E" w:rsidP="0074378E">
      <w:pPr>
        <w:jc w:val="both"/>
        <w:rPr>
          <w:rFonts w:ascii="Times New Roman" w:hAnsi="Times New Roman" w:cs="Times New Roman"/>
          <w:sz w:val="20"/>
        </w:rPr>
      </w:pPr>
      <w:r w:rsidRPr="0074378E">
        <w:rPr>
          <w:rFonts w:ascii="Times New Roman" w:hAnsi="Times New Roman" w:cs="Times New Roman"/>
          <w:b/>
          <w:bCs/>
          <w:sz w:val="20"/>
        </w:rPr>
        <w:t>Methods:</w:t>
      </w:r>
      <w:r w:rsidRPr="0074378E">
        <w:rPr>
          <w:rFonts w:ascii="Times New Roman" w:hAnsi="Times New Roman" w:cs="Times New Roman"/>
          <w:sz w:val="20"/>
        </w:rPr>
        <w:t xml:space="preserve"> Human </w:t>
      </w:r>
      <w:proofErr w:type="spellStart"/>
      <w:r w:rsidRPr="0074378E">
        <w:rPr>
          <w:rFonts w:ascii="Times New Roman" w:hAnsi="Times New Roman" w:cs="Times New Roman"/>
          <w:sz w:val="20"/>
        </w:rPr>
        <w:t>promyelocytic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cells (HL-60), differentiated (dHL-60) into a neutrophil-like phenotype, were used in a surface internalization-biased protocol</w:t>
      </w:r>
      <w:r>
        <w:rPr>
          <w:rFonts w:ascii="Times New Roman" w:hAnsi="Times New Roman" w:cs="Times New Roman"/>
          <w:sz w:val="20"/>
        </w:rPr>
        <w:t xml:space="preserve"> and</w:t>
      </w:r>
      <w:r w:rsidRPr="0074378E">
        <w:rPr>
          <w:rFonts w:ascii="Times New Roman" w:hAnsi="Times New Roman" w:cs="Times New Roman"/>
          <w:sz w:val="20"/>
        </w:rPr>
        <w:t xml:space="preserve"> proteomic analysis of internalized materials following HxA</w:t>
      </w:r>
      <w:r w:rsidRPr="0074378E">
        <w:rPr>
          <w:rFonts w:ascii="Times New Roman" w:hAnsi="Times New Roman" w:cs="Times New Roman"/>
          <w:sz w:val="20"/>
          <w:vertAlign w:val="subscript"/>
        </w:rPr>
        <w:t xml:space="preserve">3 </w:t>
      </w:r>
      <w:r w:rsidRPr="0074378E">
        <w:rPr>
          <w:rFonts w:ascii="Times New Roman" w:hAnsi="Times New Roman" w:cs="Times New Roman"/>
          <w:sz w:val="20"/>
        </w:rPr>
        <w:t xml:space="preserve">exposure identified receptor candidates. Cell migration assays were performed in </w:t>
      </w:r>
      <w:proofErr w:type="spellStart"/>
      <w:r w:rsidRPr="0074378E">
        <w:rPr>
          <w:rFonts w:ascii="Times New Roman" w:hAnsi="Times New Roman" w:cs="Times New Roman"/>
          <w:sz w:val="20"/>
        </w:rPr>
        <w:t>Transwell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® polycarbonate membrane plates using dHL-60 cells on the upper chamber, followed by the addition of </w:t>
      </w:r>
      <w:proofErr w:type="spellStart"/>
      <w:r w:rsidRPr="0074378E">
        <w:rPr>
          <w:rFonts w:ascii="Times New Roman" w:hAnsi="Times New Roman" w:cs="Times New Roman"/>
          <w:sz w:val="20"/>
        </w:rPr>
        <w:t>chemoattractant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HxA3 or </w:t>
      </w:r>
      <w:proofErr w:type="spellStart"/>
      <w:r w:rsidRPr="0074378E">
        <w:rPr>
          <w:rFonts w:ascii="Times New Roman" w:hAnsi="Times New Roman" w:cs="Times New Roman"/>
          <w:sz w:val="20"/>
        </w:rPr>
        <w:t>fMLP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or 2-aminoethoxydiphenylborane (2-APB), a non-specific TRP channel activator in the bottom chamber. </w:t>
      </w:r>
      <w:proofErr w:type="spellStart"/>
      <w:proofErr w:type="gramStart"/>
      <w:r w:rsidRPr="0074378E">
        <w:rPr>
          <w:rFonts w:ascii="Times New Roman" w:hAnsi="Times New Roman" w:cs="Times New Roman"/>
          <w:sz w:val="20"/>
        </w:rPr>
        <w:t>siRNA</w:t>
      </w:r>
      <w:proofErr w:type="spellEnd"/>
      <w:r w:rsidRPr="0074378E">
        <w:rPr>
          <w:rFonts w:ascii="Times New Roman" w:hAnsi="Times New Roman" w:cs="Times New Roman"/>
          <w:sz w:val="20"/>
        </w:rPr>
        <w:t>-knock-down</w:t>
      </w:r>
      <w:proofErr w:type="gramEnd"/>
      <w:r w:rsidRPr="0074378E">
        <w:rPr>
          <w:rFonts w:ascii="Times New Roman" w:hAnsi="Times New Roman" w:cs="Times New Roman"/>
          <w:sz w:val="20"/>
        </w:rPr>
        <w:t xml:space="preserve"> of CB</w:t>
      </w:r>
      <w:r w:rsidRPr="0074378E">
        <w:rPr>
          <w:rFonts w:ascii="Times New Roman" w:hAnsi="Times New Roman" w:cs="Times New Roman"/>
          <w:sz w:val="20"/>
          <w:vertAlign w:val="subscript"/>
        </w:rPr>
        <w:t>2</w:t>
      </w:r>
      <w:r w:rsidRPr="0074378E">
        <w:rPr>
          <w:rFonts w:ascii="Times New Roman" w:hAnsi="Times New Roman" w:cs="Times New Roman"/>
          <w:sz w:val="20"/>
        </w:rPr>
        <w:t>R and TRPV2 genes in dHL-60 cells were performed for their ability to block HxA</w:t>
      </w:r>
      <w:r w:rsidRPr="0074378E">
        <w:rPr>
          <w:rFonts w:ascii="Times New Roman" w:hAnsi="Times New Roman" w:cs="Times New Roman"/>
          <w:sz w:val="20"/>
          <w:vertAlign w:val="subscript"/>
        </w:rPr>
        <w:t>3</w:t>
      </w:r>
      <w:r w:rsidRPr="0074378E">
        <w:rPr>
          <w:rFonts w:ascii="Times New Roman" w:hAnsi="Times New Roman" w:cs="Times New Roman"/>
          <w:sz w:val="20"/>
        </w:rPr>
        <w:t>- dHL-60 cell</w:t>
      </w:r>
      <w:r>
        <w:rPr>
          <w:rFonts w:ascii="Times New Roman" w:hAnsi="Times New Roman" w:cs="Times New Roman"/>
          <w:sz w:val="20"/>
        </w:rPr>
        <w:t xml:space="preserve"> </w:t>
      </w:r>
      <w:r w:rsidRPr="0074378E">
        <w:rPr>
          <w:rFonts w:ascii="Times New Roman" w:hAnsi="Times New Roman" w:cs="Times New Roman"/>
          <w:sz w:val="20"/>
        </w:rPr>
        <w:t>migration.</w:t>
      </w:r>
    </w:p>
    <w:p w:rsidR="0074378E" w:rsidRDefault="0074378E" w:rsidP="0074378E">
      <w:pPr>
        <w:jc w:val="both"/>
        <w:rPr>
          <w:rFonts w:ascii="Times New Roman" w:hAnsi="Times New Roman" w:cs="Times New Roman"/>
          <w:sz w:val="20"/>
          <w:szCs w:val="20"/>
        </w:rPr>
      </w:pPr>
      <w:r w:rsidRPr="0074378E">
        <w:rPr>
          <w:rFonts w:ascii="Times New Roman" w:hAnsi="Times New Roman" w:cs="Times New Roman"/>
          <w:b/>
          <w:bCs/>
          <w:sz w:val="20"/>
          <w:szCs w:val="20"/>
        </w:rPr>
        <w:t>Results:</w:t>
      </w:r>
      <w:r w:rsidRPr="0074378E">
        <w:rPr>
          <w:rFonts w:ascii="Times New Roman" w:hAnsi="Times New Roman" w:cs="Times New Roman"/>
          <w:sz w:val="20"/>
          <w:szCs w:val="20"/>
        </w:rPr>
        <w:t xml:space="preserve"> TRPV2 was identified in the proteomic screen. The CB</w:t>
      </w:r>
      <w:r w:rsidRPr="0074378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74378E">
        <w:rPr>
          <w:rFonts w:ascii="Times New Roman" w:hAnsi="Times New Roman" w:cs="Times New Roman"/>
          <w:sz w:val="20"/>
          <w:szCs w:val="20"/>
        </w:rPr>
        <w:t>R agonists individually blocked HxA3 and 2-APB-induced migration of dHL-60 cells. Our data suggests TRPV2 interacts with CB2R, linking these two elements in</w:t>
      </w:r>
      <w:r w:rsidRPr="0074378E">
        <w:rPr>
          <w:rFonts w:ascii="Times New Roman" w:hAnsi="Times New Roman" w:cs="Times New Roman"/>
          <w:sz w:val="20"/>
          <w:szCs w:val="20"/>
        </w:rPr>
        <w:t xml:space="preserve"> </w:t>
      </w:r>
      <w:r w:rsidRPr="0074378E">
        <w:rPr>
          <w:rFonts w:ascii="Times New Roman" w:hAnsi="Times New Roman" w:cs="Times New Roman"/>
          <w:sz w:val="20"/>
          <w:szCs w:val="20"/>
        </w:rPr>
        <w:t xml:space="preserve">a potentially coordinated chemotactic function that could be used to position neutrophils in the lamina </w:t>
      </w:r>
      <w:proofErr w:type="spellStart"/>
      <w:r w:rsidRPr="0074378E">
        <w:rPr>
          <w:rFonts w:ascii="Times New Roman" w:hAnsi="Times New Roman" w:cs="Times New Roman"/>
          <w:sz w:val="20"/>
          <w:szCs w:val="20"/>
        </w:rPr>
        <w:t>propria</w:t>
      </w:r>
      <w:proofErr w:type="spellEnd"/>
      <w:r w:rsidRPr="0074378E">
        <w:rPr>
          <w:rFonts w:ascii="Times New Roman" w:hAnsi="Times New Roman" w:cs="Times New Roman"/>
          <w:sz w:val="20"/>
          <w:szCs w:val="20"/>
        </w:rPr>
        <w:t xml:space="preserve"> in a state of readiness for </w:t>
      </w:r>
      <w:proofErr w:type="spellStart"/>
      <w:r w:rsidRPr="0074378E">
        <w:rPr>
          <w:rFonts w:ascii="Times New Roman" w:hAnsi="Times New Roman" w:cs="Times New Roman"/>
          <w:sz w:val="20"/>
          <w:szCs w:val="20"/>
        </w:rPr>
        <w:t>transepithelial</w:t>
      </w:r>
      <w:proofErr w:type="spellEnd"/>
      <w:r w:rsidRPr="0074378E">
        <w:rPr>
          <w:rFonts w:ascii="Times New Roman" w:hAnsi="Times New Roman" w:cs="Times New Roman"/>
          <w:sz w:val="20"/>
          <w:szCs w:val="20"/>
        </w:rPr>
        <w:t xml:space="preserve"> migration induced by the apical epithelial secretion of HxA</w:t>
      </w:r>
      <w:r w:rsidRPr="0074378E">
        <w:rPr>
          <w:rFonts w:ascii="Times New Roman" w:hAnsi="Times New Roman" w:cs="Times New Roman"/>
          <w:sz w:val="20"/>
          <w:szCs w:val="20"/>
          <w:vertAlign w:val="subscript"/>
        </w:rPr>
        <w:t>3.</w:t>
      </w:r>
    </w:p>
    <w:p w:rsidR="0074378E" w:rsidRDefault="0074378E" w:rsidP="0074378E">
      <w:pPr>
        <w:jc w:val="both"/>
        <w:rPr>
          <w:rFonts w:ascii="Times New Roman" w:hAnsi="Times New Roman" w:cs="Times New Roman"/>
          <w:sz w:val="20"/>
        </w:rPr>
      </w:pPr>
      <w:r w:rsidRPr="0074378E">
        <w:rPr>
          <w:rFonts w:ascii="Times New Roman" w:hAnsi="Times New Roman" w:cs="Times New Roman"/>
          <w:b/>
          <w:bCs/>
          <w:sz w:val="20"/>
        </w:rPr>
        <w:t>Conclusions:</w:t>
      </w:r>
      <w:r w:rsidRPr="0074378E">
        <w:rPr>
          <w:rFonts w:ascii="Times New Roman" w:hAnsi="Times New Roman" w:cs="Times New Roman"/>
          <w:sz w:val="20"/>
        </w:rPr>
        <w:t xml:space="preserve"> We have identified TRPV2 as a promising candidate receptor for HxA</w:t>
      </w:r>
      <w:r w:rsidRPr="0074378E">
        <w:rPr>
          <w:rFonts w:ascii="Times New Roman" w:hAnsi="Times New Roman" w:cs="Times New Roman"/>
          <w:sz w:val="20"/>
          <w:vertAlign w:val="subscript"/>
        </w:rPr>
        <w:t>3</w:t>
      </w:r>
      <w:r w:rsidRPr="0074378E">
        <w:rPr>
          <w:rFonts w:ascii="Times New Roman" w:hAnsi="Times New Roman" w:cs="Times New Roman"/>
          <w:sz w:val="20"/>
        </w:rPr>
        <w:t xml:space="preserve"> to drive the </w:t>
      </w:r>
      <w:proofErr w:type="spellStart"/>
      <w:r w:rsidRPr="0074378E">
        <w:rPr>
          <w:rFonts w:ascii="Times New Roman" w:hAnsi="Times New Roman" w:cs="Times New Roman"/>
          <w:sz w:val="20"/>
        </w:rPr>
        <w:t>transepithelial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migration of neutrophils using the surrogate dHL-60 cell system. Such a system provides a basis for the organization of neutrophils that can rapidly respond to pathogens at the luminal surface of the intestinal epithelium and points to several potential therapeutic opportunities.</w:t>
      </w:r>
    </w:p>
    <w:p w:rsidR="0074378E" w:rsidRPr="0074378E" w:rsidRDefault="0074378E" w:rsidP="0074378E">
      <w:pPr>
        <w:rPr>
          <w:rFonts w:ascii="Times New Roman" w:hAnsi="Times New Roman" w:cs="Times New Roman"/>
          <w:b/>
          <w:sz w:val="24"/>
        </w:rPr>
      </w:pPr>
      <w:r w:rsidRPr="0074378E">
        <w:rPr>
          <w:rFonts w:ascii="Times New Roman" w:hAnsi="Times New Roman" w:cs="Times New Roman"/>
          <w:b/>
          <w:sz w:val="24"/>
        </w:rPr>
        <w:t>Biography</w:t>
      </w:r>
    </w:p>
    <w:p w:rsidR="0074378E" w:rsidRPr="0074378E" w:rsidRDefault="0074378E" w:rsidP="0074378E">
      <w:pPr>
        <w:jc w:val="both"/>
        <w:rPr>
          <w:rFonts w:ascii="Times New Roman" w:hAnsi="Times New Roman" w:cs="Times New Roman"/>
          <w:sz w:val="24"/>
        </w:rPr>
      </w:pPr>
      <w:r w:rsidRPr="0074378E">
        <w:rPr>
          <w:rFonts w:ascii="Times New Roman" w:hAnsi="Times New Roman" w:cs="Times New Roman"/>
          <w:sz w:val="20"/>
        </w:rPr>
        <w:t xml:space="preserve">Claudia </w:t>
      </w:r>
      <w:proofErr w:type="spellStart"/>
      <w:r w:rsidRPr="0074378E">
        <w:rPr>
          <w:rFonts w:ascii="Times New Roman" w:hAnsi="Times New Roman" w:cs="Times New Roman"/>
          <w:sz w:val="20"/>
        </w:rPr>
        <w:t>Feriotti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has her expertise in host-pathogens interactions and innate immunity, her current work is on the identification of molecules secreted by the intestinal epithelial cells which can control neutrophil transmigration from the intestinal lamina </w:t>
      </w:r>
      <w:proofErr w:type="spellStart"/>
      <w:r w:rsidRPr="0074378E">
        <w:rPr>
          <w:rFonts w:ascii="Times New Roman" w:hAnsi="Times New Roman" w:cs="Times New Roman"/>
          <w:sz w:val="20"/>
        </w:rPr>
        <w:t>propria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to the lumen in homeostatic environment or in the intestinal inflammatory diseases. She examines epithelial </w:t>
      </w:r>
      <w:proofErr w:type="spellStart"/>
      <w:r w:rsidRPr="0074378E">
        <w:rPr>
          <w:rFonts w:ascii="Times New Roman" w:hAnsi="Times New Roman" w:cs="Times New Roman"/>
          <w:sz w:val="20"/>
        </w:rPr>
        <w:t>transcytosis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mechanisms used by bacterial toxins for the delivery of </w:t>
      </w:r>
      <w:proofErr w:type="spellStart"/>
      <w:r w:rsidRPr="0074378E">
        <w:rPr>
          <w:rFonts w:ascii="Times New Roman" w:hAnsi="Times New Roman" w:cs="Times New Roman"/>
          <w:sz w:val="20"/>
        </w:rPr>
        <w:t>biotherapeutics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such as proteins, peptides</w:t>
      </w:r>
      <w:r>
        <w:rPr>
          <w:rFonts w:ascii="Times New Roman" w:hAnsi="Times New Roman" w:cs="Times New Roman"/>
          <w:sz w:val="20"/>
        </w:rPr>
        <w:t xml:space="preserve"> and</w:t>
      </w:r>
      <w:r w:rsidRPr="0074378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4378E">
        <w:rPr>
          <w:rFonts w:ascii="Times New Roman" w:hAnsi="Times New Roman" w:cs="Times New Roman"/>
          <w:sz w:val="20"/>
        </w:rPr>
        <w:t>siRNA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. Her previous work was on the study of </w:t>
      </w:r>
      <w:proofErr w:type="spellStart"/>
      <w:r w:rsidRPr="004510A3">
        <w:rPr>
          <w:rFonts w:ascii="Times New Roman" w:hAnsi="Times New Roman" w:cs="Times New Roman"/>
          <w:i/>
          <w:sz w:val="20"/>
        </w:rPr>
        <w:t>Klebsiella</w:t>
      </w:r>
      <w:proofErr w:type="spellEnd"/>
      <w:r w:rsidRPr="004510A3">
        <w:rPr>
          <w:rFonts w:ascii="Times New Roman" w:hAnsi="Times New Roman" w:cs="Times New Roman"/>
          <w:i/>
          <w:sz w:val="20"/>
        </w:rPr>
        <w:t xml:space="preserve"> pneumonia</w:t>
      </w:r>
      <w:r w:rsidRPr="0074378E">
        <w:rPr>
          <w:rFonts w:ascii="Times New Roman" w:hAnsi="Times New Roman" w:cs="Times New Roman"/>
          <w:sz w:val="20"/>
        </w:rPr>
        <w:t xml:space="preserve">-host interactions in human pulmonary infections. She </w:t>
      </w:r>
      <w:proofErr w:type="spellStart"/>
      <w:r w:rsidRPr="0074378E">
        <w:rPr>
          <w:rFonts w:ascii="Times New Roman" w:hAnsi="Times New Roman" w:cs="Times New Roman"/>
          <w:sz w:val="20"/>
        </w:rPr>
        <w:t>analysed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the Type I interferon function in the intracellular </w:t>
      </w:r>
      <w:proofErr w:type="spellStart"/>
      <w:r w:rsidRPr="0074378E">
        <w:rPr>
          <w:rFonts w:ascii="Times New Roman" w:hAnsi="Times New Roman" w:cs="Times New Roman"/>
          <w:sz w:val="20"/>
        </w:rPr>
        <w:t>signalling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pathways driven by </w:t>
      </w:r>
      <w:proofErr w:type="spellStart"/>
      <w:r w:rsidRPr="004510A3">
        <w:rPr>
          <w:rFonts w:ascii="Times New Roman" w:hAnsi="Times New Roman" w:cs="Times New Roman"/>
          <w:i/>
          <w:sz w:val="20"/>
        </w:rPr>
        <w:t>Klebsiella</w:t>
      </w:r>
      <w:proofErr w:type="spellEnd"/>
      <w:r w:rsidRPr="0074378E">
        <w:rPr>
          <w:rFonts w:ascii="Times New Roman" w:hAnsi="Times New Roman" w:cs="Times New Roman"/>
          <w:sz w:val="20"/>
        </w:rPr>
        <w:t xml:space="preserve"> infection in macrophages.</w:t>
      </w:r>
      <w:bookmarkEnd w:id="0"/>
    </w:p>
    <w:sectPr w:rsidR="0074378E" w:rsidRPr="00743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A6"/>
    <w:rsid w:val="0032354D"/>
    <w:rsid w:val="004510A3"/>
    <w:rsid w:val="00474203"/>
    <w:rsid w:val="00535872"/>
    <w:rsid w:val="0074378E"/>
    <w:rsid w:val="00924B33"/>
    <w:rsid w:val="00E5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2023-02-17T06:10:00Z</dcterms:created>
  <dcterms:modified xsi:type="dcterms:W3CDTF">2023-02-17T06:35:00Z</dcterms:modified>
</cp:coreProperties>
</file>