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BD0" w:rsidRPr="00094018" w:rsidRDefault="008F0BD0" w:rsidP="00094018">
      <w:pPr>
        <w:spacing w:after="200" w:line="276" w:lineRule="auto"/>
        <w:rPr>
          <w:rFonts w:ascii="Times New Roman" w:hAnsi="Times New Roman" w:cs="Times New Roman"/>
          <w:b/>
          <w:sz w:val="32"/>
          <w:szCs w:val="28"/>
          <w:lang w:val="en-US"/>
        </w:rPr>
      </w:pPr>
      <w:bookmarkStart w:id="0" w:name="_GoBack"/>
      <w:r w:rsidRPr="00094018">
        <w:rPr>
          <w:rFonts w:ascii="Times New Roman" w:hAnsi="Times New Roman" w:cs="Times New Roman"/>
          <w:b/>
          <w:sz w:val="32"/>
          <w:szCs w:val="28"/>
          <w:lang w:val="en-US"/>
        </w:rPr>
        <w:t>The role of the association of genotype polymorphisms</w:t>
      </w:r>
      <w:r w:rsidR="00094018" w:rsidRPr="00094018">
        <w:rPr>
          <w:rFonts w:ascii="Times New Roman" w:hAnsi="Times New Roman" w:cs="Times New Roman"/>
          <w:b/>
          <w:sz w:val="32"/>
          <w:szCs w:val="28"/>
          <w:lang w:val="en-US"/>
        </w:rPr>
        <w:t xml:space="preserve"> </w:t>
      </w:r>
      <w:r w:rsidRPr="00094018">
        <w:rPr>
          <w:rFonts w:ascii="Times New Roman" w:hAnsi="Times New Roman" w:cs="Times New Roman"/>
          <w:b/>
          <w:sz w:val="32"/>
          <w:szCs w:val="28"/>
          <w:lang w:val="en-US"/>
        </w:rPr>
        <w:t>G103T of the F13 gene in t</w:t>
      </w:r>
      <w:r w:rsidR="00094018" w:rsidRPr="00094018">
        <w:rPr>
          <w:rFonts w:ascii="Times New Roman" w:hAnsi="Times New Roman" w:cs="Times New Roman"/>
          <w:b/>
          <w:sz w:val="32"/>
          <w:szCs w:val="28"/>
          <w:lang w:val="en-US"/>
        </w:rPr>
        <w:t>he development of preterm labor</w:t>
      </w:r>
    </w:p>
    <w:p w:rsidR="008F0BD0" w:rsidRPr="00094018" w:rsidRDefault="00094018" w:rsidP="00094018">
      <w:pPr>
        <w:spacing w:after="200" w:line="276" w:lineRule="auto"/>
        <w:rPr>
          <w:rFonts w:ascii="Times New Roman" w:hAnsi="Times New Roman" w:cs="Times New Roman"/>
          <w:sz w:val="24"/>
          <w:szCs w:val="28"/>
          <w:lang w:val="en-US"/>
        </w:rPr>
      </w:pPr>
      <w:proofErr w:type="spellStart"/>
      <w:r>
        <w:rPr>
          <w:rFonts w:ascii="Times New Roman" w:hAnsi="Times New Roman" w:cs="Times New Roman"/>
          <w:sz w:val="24"/>
          <w:szCs w:val="28"/>
          <w:lang w:val="en-US"/>
        </w:rPr>
        <w:t>Mavlyanova</w:t>
      </w:r>
      <w:proofErr w:type="spellEnd"/>
      <w:r>
        <w:rPr>
          <w:rFonts w:ascii="Times New Roman" w:hAnsi="Times New Roman" w:cs="Times New Roman"/>
          <w:sz w:val="24"/>
          <w:szCs w:val="28"/>
          <w:lang w:val="en-US"/>
        </w:rPr>
        <w:t xml:space="preserve"> N</w:t>
      </w:r>
      <w:r w:rsidR="008F0BD0" w:rsidRPr="00094018">
        <w:rPr>
          <w:rFonts w:ascii="Times New Roman" w:hAnsi="Times New Roman" w:cs="Times New Roman"/>
          <w:sz w:val="24"/>
          <w:szCs w:val="28"/>
          <w:lang w:val="en-US"/>
        </w:rPr>
        <w:t>N</w:t>
      </w:r>
      <w:r>
        <w:rPr>
          <w:rFonts w:ascii="Times New Roman" w:hAnsi="Times New Roman" w:cs="Times New Roman"/>
          <w:sz w:val="24"/>
          <w:szCs w:val="28"/>
          <w:lang w:val="en-US"/>
        </w:rPr>
        <w:t xml:space="preserve"> and </w:t>
      </w:r>
      <w:proofErr w:type="spellStart"/>
      <w:r w:rsidR="00FF3B86">
        <w:rPr>
          <w:rFonts w:ascii="Times New Roman" w:hAnsi="Times New Roman" w:cs="Times New Roman"/>
          <w:sz w:val="24"/>
          <w:szCs w:val="28"/>
          <w:lang w:val="en-US"/>
        </w:rPr>
        <w:t>Mamieva</w:t>
      </w:r>
      <w:proofErr w:type="spellEnd"/>
      <w:r w:rsidR="00FF3B86">
        <w:rPr>
          <w:rFonts w:ascii="Times New Roman" w:hAnsi="Times New Roman" w:cs="Times New Roman"/>
          <w:sz w:val="24"/>
          <w:szCs w:val="28"/>
          <w:lang w:val="en-US"/>
        </w:rPr>
        <w:t xml:space="preserve"> LM</w:t>
      </w:r>
    </w:p>
    <w:p w:rsidR="00091F18" w:rsidRPr="00FF3B86" w:rsidRDefault="00FF3B86" w:rsidP="00094018">
      <w:pPr>
        <w:spacing w:after="200" w:line="276" w:lineRule="auto"/>
        <w:rPr>
          <w:rFonts w:ascii="Times New Roman" w:hAnsi="Times New Roman" w:cs="Times New Roman"/>
          <w:szCs w:val="28"/>
          <w:lang w:val="en-US"/>
        </w:rPr>
      </w:pPr>
      <w:commentRangeStart w:id="1"/>
      <w:r w:rsidRPr="00FF3B86">
        <w:rPr>
          <w:rFonts w:ascii="Times New Roman" w:hAnsi="Times New Roman" w:cs="Times New Roman"/>
          <w:szCs w:val="28"/>
          <w:lang w:val="en-US"/>
        </w:rPr>
        <w:t>University and Country</w:t>
      </w:r>
      <w:commentRangeEnd w:id="1"/>
      <w:r w:rsidR="00D407A0">
        <w:rPr>
          <w:rStyle w:val="CommentReference"/>
        </w:rPr>
        <w:commentReference w:id="1"/>
      </w:r>
    </w:p>
    <w:p w:rsidR="00094018" w:rsidRPr="00094018" w:rsidRDefault="00094018" w:rsidP="00094018">
      <w:pPr>
        <w:spacing w:after="200" w:line="276" w:lineRule="auto"/>
        <w:jc w:val="center"/>
        <w:rPr>
          <w:rFonts w:ascii="Times New Roman" w:hAnsi="Times New Roman" w:cs="Times New Roman"/>
          <w:b/>
          <w:sz w:val="24"/>
          <w:szCs w:val="28"/>
          <w:lang w:val="en-US"/>
        </w:rPr>
      </w:pPr>
      <w:r w:rsidRPr="00094018">
        <w:rPr>
          <w:rFonts w:ascii="Times New Roman" w:hAnsi="Times New Roman" w:cs="Times New Roman"/>
          <w:b/>
          <w:sz w:val="24"/>
          <w:szCs w:val="28"/>
          <w:lang w:val="en-US"/>
        </w:rPr>
        <w:t>Abstract</w:t>
      </w:r>
    </w:p>
    <w:p w:rsidR="008F0BD0" w:rsidRPr="00094018" w:rsidRDefault="008F0BD0" w:rsidP="00094018">
      <w:pPr>
        <w:spacing w:after="200" w:line="276" w:lineRule="auto"/>
        <w:jc w:val="both"/>
        <w:rPr>
          <w:rFonts w:ascii="Times New Roman" w:hAnsi="Times New Roman" w:cs="Times New Roman"/>
          <w:sz w:val="20"/>
          <w:szCs w:val="28"/>
          <w:lang w:val="en-US"/>
        </w:rPr>
      </w:pPr>
      <w:r w:rsidRPr="00094018">
        <w:rPr>
          <w:rFonts w:ascii="Times New Roman" w:hAnsi="Times New Roman" w:cs="Times New Roman"/>
          <w:sz w:val="20"/>
          <w:szCs w:val="28"/>
          <w:lang w:val="en-US"/>
        </w:rPr>
        <w:t>The main objective of obstetrics is to reduce maternal and child morbidity and mortality. Undoubtedly, timely and optimal delivery plays an important role in solving this problem. The most important medical and biological problem of modern obstetrics is preterm birth. According to the literature, the F13 gene encodes factor XIII, i.e. fibrin-stabilizing factor (</w:t>
      </w:r>
      <w:proofErr w:type="spellStart"/>
      <w:r w:rsidRPr="00094018">
        <w:rPr>
          <w:rFonts w:ascii="Times New Roman" w:hAnsi="Times New Roman" w:cs="Times New Roman"/>
          <w:sz w:val="20"/>
          <w:szCs w:val="28"/>
          <w:lang w:val="en-US"/>
        </w:rPr>
        <w:t>fibrinase</w:t>
      </w:r>
      <w:proofErr w:type="spellEnd"/>
      <w:r w:rsidRPr="00094018">
        <w:rPr>
          <w:rFonts w:ascii="Times New Roman" w:hAnsi="Times New Roman" w:cs="Times New Roman"/>
          <w:sz w:val="20"/>
          <w:szCs w:val="28"/>
          <w:lang w:val="en-US"/>
        </w:rPr>
        <w:t>), which is involved in the formation of insoluble fibrin, which is the basis of a blood clot, or thrombus.</w:t>
      </w:r>
    </w:p>
    <w:p w:rsidR="008F0BD0" w:rsidRPr="00094018" w:rsidRDefault="008F0BD0" w:rsidP="00094018">
      <w:pPr>
        <w:spacing w:after="200" w:line="276" w:lineRule="auto"/>
        <w:jc w:val="both"/>
        <w:rPr>
          <w:rFonts w:ascii="Times New Roman" w:hAnsi="Times New Roman" w:cs="Times New Roman"/>
          <w:sz w:val="20"/>
          <w:szCs w:val="28"/>
          <w:lang w:val="en-US"/>
        </w:rPr>
      </w:pPr>
      <w:r w:rsidRPr="00094018">
        <w:rPr>
          <w:rFonts w:ascii="Times New Roman" w:hAnsi="Times New Roman" w:cs="Times New Roman"/>
          <w:sz w:val="20"/>
          <w:szCs w:val="28"/>
          <w:lang w:val="en-US"/>
        </w:rPr>
        <w:t>The aim of our study was to assess the detectability of the G103T genotype polymorphism of the F13 gene in pregnant women with preterm labor and fetal loss syndrome.</w:t>
      </w:r>
    </w:p>
    <w:p w:rsidR="008F0BD0" w:rsidRPr="00094018" w:rsidRDefault="008F0BD0" w:rsidP="00094018">
      <w:pPr>
        <w:spacing w:after="200" w:line="276" w:lineRule="auto"/>
        <w:jc w:val="both"/>
        <w:rPr>
          <w:rFonts w:ascii="Times New Roman" w:hAnsi="Times New Roman" w:cs="Times New Roman"/>
          <w:sz w:val="20"/>
          <w:szCs w:val="28"/>
          <w:lang w:val="en-US"/>
        </w:rPr>
      </w:pPr>
      <w:r w:rsidRPr="00094018">
        <w:rPr>
          <w:rFonts w:ascii="Times New Roman" w:hAnsi="Times New Roman" w:cs="Times New Roman"/>
          <w:b/>
          <w:sz w:val="20"/>
          <w:szCs w:val="28"/>
          <w:lang w:val="en-US"/>
        </w:rPr>
        <w:t>Material and research methods</w:t>
      </w:r>
      <w:r w:rsidR="00094018" w:rsidRPr="00094018">
        <w:rPr>
          <w:rFonts w:ascii="Times New Roman" w:hAnsi="Times New Roman" w:cs="Times New Roman"/>
          <w:b/>
          <w:sz w:val="20"/>
          <w:szCs w:val="28"/>
          <w:lang w:val="en-US"/>
        </w:rPr>
        <w:t>:</w:t>
      </w:r>
      <w:r w:rsidRPr="00094018">
        <w:rPr>
          <w:rFonts w:ascii="Times New Roman" w:hAnsi="Times New Roman" w:cs="Times New Roman"/>
          <w:sz w:val="20"/>
          <w:szCs w:val="28"/>
          <w:lang w:val="en-US"/>
        </w:rPr>
        <w:t xml:space="preserve"> We examined 90 women aged 21 to 36 years. Among them, patients with PR were 52 persons aged 19 to 42 years and 38 patients with physiological pregnancy without PR, who made up the control group. All pregnant women underwent general clinical, instrumental, functional (ultrasound, Doppler), molecular </w:t>
      </w:r>
      <w:r w:rsidR="00094018" w:rsidRPr="00094018">
        <w:rPr>
          <w:rFonts w:ascii="Times New Roman" w:hAnsi="Times New Roman" w:cs="Times New Roman"/>
          <w:sz w:val="20"/>
          <w:szCs w:val="28"/>
          <w:lang w:val="en-US"/>
        </w:rPr>
        <w:t>genetics</w:t>
      </w:r>
      <w:r w:rsidRPr="00094018">
        <w:rPr>
          <w:rFonts w:ascii="Times New Roman" w:hAnsi="Times New Roman" w:cs="Times New Roman"/>
          <w:sz w:val="20"/>
          <w:szCs w:val="28"/>
          <w:lang w:val="en-US"/>
        </w:rPr>
        <w:t xml:space="preserve"> and statistical studies. By informed consent, a molecular genetic study of the G103T gene of the F13 gene was performed by real-time polymerase chain reaction.</w:t>
      </w:r>
    </w:p>
    <w:p w:rsidR="008F0BD0" w:rsidRPr="00094018" w:rsidRDefault="008F0BD0" w:rsidP="00094018">
      <w:pPr>
        <w:spacing w:after="200" w:line="276" w:lineRule="auto"/>
        <w:jc w:val="both"/>
        <w:rPr>
          <w:rFonts w:ascii="Times New Roman" w:hAnsi="Times New Roman" w:cs="Times New Roman"/>
          <w:sz w:val="20"/>
          <w:szCs w:val="28"/>
          <w:lang w:val="en-US"/>
        </w:rPr>
      </w:pPr>
      <w:r w:rsidRPr="00094018">
        <w:rPr>
          <w:rFonts w:ascii="Times New Roman" w:hAnsi="Times New Roman" w:cs="Times New Roman"/>
          <w:b/>
          <w:sz w:val="20"/>
          <w:szCs w:val="28"/>
          <w:lang w:val="en-US"/>
        </w:rPr>
        <w:t>Results of the study:</w:t>
      </w:r>
      <w:r w:rsidRPr="00094018">
        <w:rPr>
          <w:rFonts w:ascii="Times New Roman" w:hAnsi="Times New Roman" w:cs="Times New Roman"/>
          <w:sz w:val="20"/>
          <w:szCs w:val="28"/>
          <w:lang w:val="en-US"/>
        </w:rPr>
        <w:t xml:space="preserve"> An analysis of the detectability of the F13 gene genotypes showed that the homozygous variant of the functional G/G genotypes in the control group of women without PR was detected in 84.2% of cases </w:t>
      </w:r>
      <w:r w:rsidR="00D407A0">
        <w:rPr>
          <w:rFonts w:ascii="Times New Roman" w:hAnsi="Times New Roman" w:cs="Times New Roman"/>
          <w:sz w:val="20"/>
          <w:szCs w:val="28"/>
          <w:lang w:val="en-US"/>
        </w:rPr>
        <w:t>(32/38)</w:t>
      </w:r>
      <w:r w:rsidR="00094018">
        <w:rPr>
          <w:rFonts w:ascii="Times New Roman" w:hAnsi="Times New Roman" w:cs="Times New Roman"/>
          <w:sz w:val="20"/>
          <w:szCs w:val="28"/>
          <w:lang w:val="en-US"/>
        </w:rPr>
        <w:t xml:space="preserve"> and in the main group</w:t>
      </w:r>
      <w:r w:rsidRPr="00094018">
        <w:rPr>
          <w:rFonts w:ascii="Times New Roman" w:hAnsi="Times New Roman" w:cs="Times New Roman"/>
          <w:sz w:val="20"/>
          <w:szCs w:val="28"/>
          <w:lang w:val="en-US"/>
        </w:rPr>
        <w:t xml:space="preserve"> 73.1% (38/52), which 1.2 times lower than in the control group. (χ2=2.15; p&lt;0.14; OR=0.51; 95%</w:t>
      </w:r>
      <w:r w:rsidR="00094018">
        <w:rPr>
          <w:rFonts w:ascii="Times New Roman" w:hAnsi="Times New Roman" w:cs="Times New Roman"/>
          <w:sz w:val="20"/>
          <w:szCs w:val="28"/>
          <w:lang w:val="en-US"/>
        </w:rPr>
        <w:t xml:space="preserve"> </w:t>
      </w:r>
      <w:r w:rsidRPr="00094018">
        <w:rPr>
          <w:rFonts w:ascii="Times New Roman" w:hAnsi="Times New Roman" w:cs="Times New Roman"/>
          <w:sz w:val="20"/>
          <w:szCs w:val="28"/>
          <w:lang w:val="en-US"/>
        </w:rPr>
        <w:t>CI 0.1</w:t>
      </w:r>
      <w:r w:rsidR="00094018">
        <w:rPr>
          <w:rFonts w:ascii="Times New Roman" w:hAnsi="Times New Roman" w:cs="Times New Roman"/>
          <w:sz w:val="20"/>
          <w:szCs w:val="28"/>
          <w:lang w:val="en-US"/>
        </w:rPr>
        <w:t>8–1.48)</w:t>
      </w:r>
      <w:r w:rsidRPr="00094018">
        <w:rPr>
          <w:rFonts w:ascii="Times New Roman" w:hAnsi="Times New Roman" w:cs="Times New Roman"/>
          <w:sz w:val="20"/>
          <w:szCs w:val="28"/>
          <w:lang w:val="en-US"/>
        </w:rPr>
        <w:t>. Whereas the heterozygous G/T variant of the F2 gene in the control group was dete</w:t>
      </w:r>
      <w:r w:rsidR="00D407A0">
        <w:rPr>
          <w:rFonts w:ascii="Times New Roman" w:hAnsi="Times New Roman" w:cs="Times New Roman"/>
          <w:sz w:val="20"/>
          <w:szCs w:val="28"/>
          <w:lang w:val="en-US"/>
        </w:rPr>
        <w:t>rmined in 15.7% of cases (6/38)</w:t>
      </w:r>
      <w:r w:rsidRPr="00094018">
        <w:rPr>
          <w:rFonts w:ascii="Times New Roman" w:hAnsi="Times New Roman" w:cs="Times New Roman"/>
          <w:sz w:val="20"/>
          <w:szCs w:val="28"/>
          <w:lang w:val="en-US"/>
        </w:rPr>
        <w:t xml:space="preserve"> </w:t>
      </w:r>
      <w:r w:rsidR="00D407A0">
        <w:rPr>
          <w:rFonts w:ascii="Times New Roman" w:hAnsi="Times New Roman" w:cs="Times New Roman"/>
          <w:sz w:val="20"/>
          <w:szCs w:val="28"/>
          <w:lang w:val="en-US"/>
        </w:rPr>
        <w:t>a</w:t>
      </w:r>
      <w:r w:rsidRPr="00094018">
        <w:rPr>
          <w:rFonts w:ascii="Times New Roman" w:hAnsi="Times New Roman" w:cs="Times New Roman"/>
          <w:sz w:val="20"/>
          <w:szCs w:val="28"/>
          <w:lang w:val="en-US"/>
        </w:rPr>
        <w:t>nd in the main group of patients with PR, the heterozygous variant G/T of the F13 gene was determined in 23.07% of cases (12/52), respectively, which was 1.5 times higher</w:t>
      </w:r>
      <w:r w:rsidR="00094018">
        <w:rPr>
          <w:rFonts w:ascii="Times New Roman" w:hAnsi="Times New Roman" w:cs="Times New Roman"/>
          <w:sz w:val="20"/>
          <w:szCs w:val="28"/>
          <w:lang w:val="en-US"/>
        </w:rPr>
        <w:t xml:space="preserve"> than in control individuals </w:t>
      </w:r>
      <w:r w:rsidRPr="00094018">
        <w:rPr>
          <w:rFonts w:ascii="Times New Roman" w:hAnsi="Times New Roman" w:cs="Times New Roman"/>
          <w:sz w:val="20"/>
          <w:szCs w:val="28"/>
          <w:lang w:val="en-US"/>
        </w:rPr>
        <w:t>(χ2=2.15; p&lt;0.14; OR=1.60; 95%</w:t>
      </w:r>
      <w:r w:rsidR="00094018">
        <w:rPr>
          <w:rFonts w:ascii="Times New Roman" w:hAnsi="Times New Roman" w:cs="Times New Roman"/>
          <w:sz w:val="20"/>
          <w:szCs w:val="28"/>
          <w:lang w:val="en-US"/>
        </w:rPr>
        <w:t xml:space="preserve"> CI 0.54–</w:t>
      </w:r>
      <w:r w:rsidRPr="00094018">
        <w:rPr>
          <w:rFonts w:ascii="Times New Roman" w:hAnsi="Times New Roman" w:cs="Times New Roman"/>
          <w:sz w:val="20"/>
          <w:szCs w:val="28"/>
          <w:lang w:val="en-US"/>
        </w:rPr>
        <w:t>4.73).</w:t>
      </w:r>
    </w:p>
    <w:p w:rsidR="008F0BD0" w:rsidRPr="00094018" w:rsidRDefault="008F0BD0" w:rsidP="00094018">
      <w:pPr>
        <w:spacing w:after="200" w:line="276" w:lineRule="auto"/>
        <w:jc w:val="both"/>
        <w:rPr>
          <w:rFonts w:ascii="Times New Roman" w:hAnsi="Times New Roman" w:cs="Times New Roman"/>
          <w:sz w:val="20"/>
          <w:szCs w:val="28"/>
          <w:lang w:val="en-US"/>
        </w:rPr>
      </w:pPr>
      <w:r w:rsidRPr="00094018">
        <w:rPr>
          <w:rFonts w:ascii="Times New Roman" w:hAnsi="Times New Roman" w:cs="Times New Roman"/>
          <w:sz w:val="20"/>
          <w:szCs w:val="28"/>
          <w:lang w:val="en-US"/>
        </w:rPr>
        <w:t>The mutant genotype T/T of the F13 gene in our cases was determined in 3.8% of cases (2/52) in the main group. (χ2=2.15; p&lt;0.14; OR=3.81; 95%</w:t>
      </w:r>
      <w:r w:rsidR="00094018">
        <w:rPr>
          <w:rFonts w:ascii="Times New Roman" w:hAnsi="Times New Roman" w:cs="Times New Roman"/>
          <w:sz w:val="20"/>
          <w:szCs w:val="28"/>
          <w:lang w:val="en-US"/>
        </w:rPr>
        <w:t xml:space="preserve"> CI 0.18–</w:t>
      </w:r>
      <w:r w:rsidRPr="00094018">
        <w:rPr>
          <w:rFonts w:ascii="Times New Roman" w:hAnsi="Times New Roman" w:cs="Times New Roman"/>
          <w:sz w:val="20"/>
          <w:szCs w:val="28"/>
          <w:lang w:val="en-US"/>
        </w:rPr>
        <w:t>81.73). In the control group of patients, this genotype was not determined.</w:t>
      </w:r>
    </w:p>
    <w:p w:rsidR="008F0BD0" w:rsidRDefault="008F0BD0" w:rsidP="00094018">
      <w:pPr>
        <w:spacing w:after="200" w:line="276" w:lineRule="auto"/>
        <w:jc w:val="both"/>
        <w:rPr>
          <w:rFonts w:ascii="Times New Roman" w:hAnsi="Times New Roman" w:cs="Times New Roman"/>
          <w:sz w:val="20"/>
          <w:szCs w:val="28"/>
          <w:lang w:val="en-US"/>
        </w:rPr>
      </w:pPr>
      <w:r w:rsidRPr="00094018">
        <w:rPr>
          <w:rFonts w:ascii="Times New Roman" w:hAnsi="Times New Roman" w:cs="Times New Roman"/>
          <w:b/>
          <w:sz w:val="20"/>
          <w:szCs w:val="28"/>
          <w:lang w:val="en-US"/>
        </w:rPr>
        <w:t>Conclusion:</w:t>
      </w:r>
      <w:r w:rsidRPr="00094018">
        <w:rPr>
          <w:rFonts w:ascii="Times New Roman" w:hAnsi="Times New Roman" w:cs="Times New Roman"/>
          <w:sz w:val="20"/>
          <w:szCs w:val="28"/>
          <w:lang w:val="en-US"/>
        </w:rPr>
        <w:t xml:space="preserve"> Thus, the data of our study showed the relationship of the “T” allele and the heterozygous genotype of the F13A1 gene polymorphism with the development of preterm birth in women of the Uzbek population. At the same time, the risk of developing pathology in the carriage of the “T” allele and the G/T genotype increases by 2.1 (OR=2.12) and 1.5 (OR=3.8) times, respectively. The presence of the wild allele and genotype of the F13A1 gene polymorphism in female patients plays a protective role in the development of preterm labor. The result also indicates that the variant allele and heterozygous genotype of the F13A1 gene polymorphism predicts the risk of developing preterm birth in SPP.</w:t>
      </w:r>
    </w:p>
    <w:p w:rsidR="00E033DA" w:rsidRPr="00E033DA" w:rsidRDefault="00E033DA" w:rsidP="00E033DA">
      <w:pPr>
        <w:spacing w:after="200" w:line="276" w:lineRule="auto"/>
        <w:rPr>
          <w:rFonts w:ascii="Times New Roman" w:hAnsi="Times New Roman" w:cs="Times New Roman"/>
          <w:b/>
          <w:sz w:val="24"/>
          <w:szCs w:val="28"/>
          <w:lang w:val="en-US"/>
        </w:rPr>
      </w:pPr>
      <w:commentRangeStart w:id="2"/>
      <w:r w:rsidRPr="00E033DA">
        <w:rPr>
          <w:rFonts w:ascii="Times New Roman" w:hAnsi="Times New Roman" w:cs="Times New Roman"/>
          <w:b/>
          <w:sz w:val="24"/>
          <w:szCs w:val="28"/>
          <w:lang w:val="en-US"/>
        </w:rPr>
        <w:t>Biography</w:t>
      </w:r>
      <w:commentRangeEnd w:id="2"/>
      <w:r w:rsidR="00D407A0">
        <w:rPr>
          <w:rStyle w:val="CommentReference"/>
        </w:rPr>
        <w:commentReference w:id="2"/>
      </w:r>
      <w:bookmarkEnd w:id="0"/>
    </w:p>
    <w:sectPr w:rsidR="00E033DA" w:rsidRPr="00E033DA">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22T18:20:00Z" w:initials="SS">
    <w:p w:rsidR="00D407A0" w:rsidRPr="00D407A0" w:rsidRDefault="00D407A0">
      <w:pPr>
        <w:pStyle w:val="CommentText"/>
        <w:rPr>
          <w:lang w:val="en-US"/>
        </w:rPr>
      </w:pPr>
      <w:r>
        <w:rPr>
          <w:rStyle w:val="CommentReference"/>
        </w:rPr>
        <w:annotationRef/>
      </w:r>
      <w:r>
        <w:rPr>
          <w:lang w:val="en-US"/>
        </w:rPr>
        <w:t>Add University and Country</w:t>
      </w:r>
    </w:p>
  </w:comment>
  <w:comment w:id="2" w:author="Swetha Sandala" w:date="2022-12-22T18:20:00Z" w:initials="SS">
    <w:p w:rsidR="00D407A0" w:rsidRPr="00D407A0" w:rsidRDefault="00D407A0">
      <w:pPr>
        <w:pStyle w:val="CommentText"/>
        <w:rPr>
          <w:lang w:val="en-US"/>
        </w:rPr>
      </w:pPr>
      <w:r>
        <w:rPr>
          <w:rStyle w:val="CommentReference"/>
        </w:rPr>
        <w:annotationRef/>
      </w:r>
      <w:r>
        <w:rPr>
          <w:lang w:val="en-US"/>
        </w:rP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BD0"/>
    <w:rsid w:val="00094018"/>
    <w:rsid w:val="00192E0A"/>
    <w:rsid w:val="00344A56"/>
    <w:rsid w:val="003B162C"/>
    <w:rsid w:val="004562AB"/>
    <w:rsid w:val="008F0BD0"/>
    <w:rsid w:val="00A9435A"/>
    <w:rsid w:val="00D407A0"/>
    <w:rsid w:val="00E033DA"/>
    <w:rsid w:val="00FF3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407A0"/>
    <w:rPr>
      <w:sz w:val="16"/>
      <w:szCs w:val="16"/>
    </w:rPr>
  </w:style>
  <w:style w:type="paragraph" w:styleId="CommentText">
    <w:name w:val="annotation text"/>
    <w:basedOn w:val="Normal"/>
    <w:link w:val="CommentTextChar"/>
    <w:uiPriority w:val="99"/>
    <w:semiHidden/>
    <w:unhideWhenUsed/>
    <w:rsid w:val="00D407A0"/>
    <w:pPr>
      <w:spacing w:line="240" w:lineRule="auto"/>
    </w:pPr>
    <w:rPr>
      <w:sz w:val="20"/>
      <w:szCs w:val="20"/>
    </w:rPr>
  </w:style>
  <w:style w:type="character" w:customStyle="1" w:styleId="CommentTextChar">
    <w:name w:val="Comment Text Char"/>
    <w:basedOn w:val="DefaultParagraphFont"/>
    <w:link w:val="CommentText"/>
    <w:uiPriority w:val="99"/>
    <w:semiHidden/>
    <w:rsid w:val="00D407A0"/>
    <w:rPr>
      <w:sz w:val="20"/>
      <w:szCs w:val="20"/>
    </w:rPr>
  </w:style>
  <w:style w:type="paragraph" w:styleId="CommentSubject">
    <w:name w:val="annotation subject"/>
    <w:basedOn w:val="CommentText"/>
    <w:next w:val="CommentText"/>
    <w:link w:val="CommentSubjectChar"/>
    <w:uiPriority w:val="99"/>
    <w:semiHidden/>
    <w:unhideWhenUsed/>
    <w:rsid w:val="00D407A0"/>
    <w:rPr>
      <w:b/>
      <w:bCs/>
    </w:rPr>
  </w:style>
  <w:style w:type="character" w:customStyle="1" w:styleId="CommentSubjectChar">
    <w:name w:val="Comment Subject Char"/>
    <w:basedOn w:val="CommentTextChar"/>
    <w:link w:val="CommentSubject"/>
    <w:uiPriority w:val="99"/>
    <w:semiHidden/>
    <w:rsid w:val="00D407A0"/>
    <w:rPr>
      <w:b/>
      <w:bCs/>
      <w:sz w:val="20"/>
      <w:szCs w:val="20"/>
    </w:rPr>
  </w:style>
  <w:style w:type="paragraph" w:styleId="BalloonText">
    <w:name w:val="Balloon Text"/>
    <w:basedOn w:val="Normal"/>
    <w:link w:val="BalloonTextChar"/>
    <w:uiPriority w:val="99"/>
    <w:semiHidden/>
    <w:unhideWhenUsed/>
    <w:rsid w:val="00D407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7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407A0"/>
    <w:rPr>
      <w:sz w:val="16"/>
      <w:szCs w:val="16"/>
    </w:rPr>
  </w:style>
  <w:style w:type="paragraph" w:styleId="CommentText">
    <w:name w:val="annotation text"/>
    <w:basedOn w:val="Normal"/>
    <w:link w:val="CommentTextChar"/>
    <w:uiPriority w:val="99"/>
    <w:semiHidden/>
    <w:unhideWhenUsed/>
    <w:rsid w:val="00D407A0"/>
    <w:pPr>
      <w:spacing w:line="240" w:lineRule="auto"/>
    </w:pPr>
    <w:rPr>
      <w:sz w:val="20"/>
      <w:szCs w:val="20"/>
    </w:rPr>
  </w:style>
  <w:style w:type="character" w:customStyle="1" w:styleId="CommentTextChar">
    <w:name w:val="Comment Text Char"/>
    <w:basedOn w:val="DefaultParagraphFont"/>
    <w:link w:val="CommentText"/>
    <w:uiPriority w:val="99"/>
    <w:semiHidden/>
    <w:rsid w:val="00D407A0"/>
    <w:rPr>
      <w:sz w:val="20"/>
      <w:szCs w:val="20"/>
    </w:rPr>
  </w:style>
  <w:style w:type="paragraph" w:styleId="CommentSubject">
    <w:name w:val="annotation subject"/>
    <w:basedOn w:val="CommentText"/>
    <w:next w:val="CommentText"/>
    <w:link w:val="CommentSubjectChar"/>
    <w:uiPriority w:val="99"/>
    <w:semiHidden/>
    <w:unhideWhenUsed/>
    <w:rsid w:val="00D407A0"/>
    <w:rPr>
      <w:b/>
      <w:bCs/>
    </w:rPr>
  </w:style>
  <w:style w:type="character" w:customStyle="1" w:styleId="CommentSubjectChar">
    <w:name w:val="Comment Subject Char"/>
    <w:basedOn w:val="CommentTextChar"/>
    <w:link w:val="CommentSubject"/>
    <w:uiPriority w:val="99"/>
    <w:semiHidden/>
    <w:rsid w:val="00D407A0"/>
    <w:rPr>
      <w:b/>
      <w:bCs/>
      <w:sz w:val="20"/>
      <w:szCs w:val="20"/>
    </w:rPr>
  </w:style>
  <w:style w:type="paragraph" w:styleId="BalloonText">
    <w:name w:val="Balloon Text"/>
    <w:basedOn w:val="Normal"/>
    <w:link w:val="BalloonTextChar"/>
    <w:uiPriority w:val="99"/>
    <w:semiHidden/>
    <w:unhideWhenUsed/>
    <w:rsid w:val="00D407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7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444</Words>
  <Characters>2536</Characters>
  <Application>Microsoft Office Word</Application>
  <DocSecurity>0</DocSecurity>
  <Lines>21</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Shaxnoza</dc:creator>
  <cp:lastModifiedBy>Swetha Sandala</cp:lastModifiedBy>
  <cp:revision>3</cp:revision>
  <dcterms:created xsi:type="dcterms:W3CDTF">2022-12-22T12:18:00Z</dcterms:created>
  <dcterms:modified xsi:type="dcterms:W3CDTF">2022-12-22T12:50:00Z</dcterms:modified>
</cp:coreProperties>
</file>