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402E2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402E2">
        <w:rPr>
          <w:rFonts w:ascii="Times New Roman" w:hAnsi="Times New Roman" w:cs="Times New Roman"/>
          <w:b/>
          <w:sz w:val="32"/>
        </w:rPr>
        <w:t>The impact of contact lens discomfort on quality of life dimensions</w:t>
      </w:r>
    </w:p>
    <w:p w:rsidR="00E402E2" w:rsidRDefault="00E402E2">
      <w:pPr>
        <w:rPr>
          <w:rFonts w:ascii="Times New Roman" w:hAnsi="Times New Roman" w:cs="Times New Roman"/>
          <w:sz w:val="24"/>
        </w:rPr>
      </w:pPr>
      <w:proofErr w:type="spellStart"/>
      <w:r w:rsidRPr="00E402E2">
        <w:rPr>
          <w:rFonts w:ascii="Times New Roman" w:hAnsi="Times New Roman" w:cs="Times New Roman"/>
          <w:sz w:val="24"/>
        </w:rPr>
        <w:t>Leyla</w:t>
      </w:r>
      <w:proofErr w:type="spellEnd"/>
      <w:r w:rsidRPr="00E402E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02E2">
        <w:rPr>
          <w:rFonts w:ascii="Times New Roman" w:hAnsi="Times New Roman" w:cs="Times New Roman"/>
          <w:sz w:val="24"/>
        </w:rPr>
        <w:t>Mirzaee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E402E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402E2">
        <w:rPr>
          <w:rFonts w:ascii="Times New Roman" w:hAnsi="Times New Roman" w:cs="Times New Roman"/>
          <w:sz w:val="24"/>
        </w:rPr>
        <w:t>Akhil</w:t>
      </w:r>
      <w:proofErr w:type="spellEnd"/>
      <w:r w:rsidRPr="00E402E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02E2">
        <w:rPr>
          <w:rFonts w:ascii="Times New Roman" w:hAnsi="Times New Roman" w:cs="Times New Roman"/>
          <w:sz w:val="24"/>
        </w:rPr>
        <w:t>Mekka</w:t>
      </w:r>
      <w:proofErr w:type="spellEnd"/>
      <w:r>
        <w:rPr>
          <w:rFonts w:ascii="Times New Roman" w:hAnsi="Times New Roman" w:cs="Times New Roman"/>
          <w:sz w:val="24"/>
        </w:rPr>
        <w:t>, Cecilia Chao,</w:t>
      </w:r>
      <w:r w:rsidRPr="00E402E2">
        <w:rPr>
          <w:rFonts w:ascii="Times New Roman" w:hAnsi="Times New Roman" w:cs="Times New Roman"/>
          <w:sz w:val="24"/>
        </w:rPr>
        <w:t xml:space="preserve"> Ga</w:t>
      </w:r>
      <w:r>
        <w:rPr>
          <w:rFonts w:ascii="Times New Roman" w:hAnsi="Times New Roman" w:cs="Times New Roman"/>
          <w:sz w:val="24"/>
        </w:rPr>
        <w:t xml:space="preserve">briella </w:t>
      </w:r>
      <w:proofErr w:type="spellStart"/>
      <w:r>
        <w:rPr>
          <w:rFonts w:ascii="Times New Roman" w:hAnsi="Times New Roman" w:cs="Times New Roman"/>
          <w:sz w:val="24"/>
        </w:rPr>
        <w:t>Dieckmann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Yashar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Seyed-Razavi</w:t>
      </w:r>
      <w:proofErr w:type="spellEnd"/>
      <w:r>
        <w:rPr>
          <w:rFonts w:ascii="Times New Roman" w:hAnsi="Times New Roman" w:cs="Times New Roman"/>
          <w:sz w:val="24"/>
        </w:rPr>
        <w:t>,</w:t>
      </w:r>
      <w:r w:rsidRPr="00E402E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02E2">
        <w:rPr>
          <w:rFonts w:ascii="Times New Roman" w:hAnsi="Times New Roman" w:cs="Times New Roman"/>
          <w:sz w:val="24"/>
        </w:rPr>
        <w:t>Neslihan</w:t>
      </w:r>
      <w:proofErr w:type="spellEnd"/>
      <w:r w:rsidRPr="00E402E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02E2">
        <w:rPr>
          <w:rFonts w:ascii="Times New Roman" w:hAnsi="Times New Roman" w:cs="Times New Roman"/>
          <w:sz w:val="24"/>
        </w:rPr>
        <w:t>Dilruba</w:t>
      </w:r>
      <w:proofErr w:type="spellEnd"/>
      <w:r w:rsidRPr="00E402E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02E2">
        <w:rPr>
          <w:rFonts w:ascii="Times New Roman" w:hAnsi="Times New Roman" w:cs="Times New Roman"/>
          <w:sz w:val="24"/>
        </w:rPr>
        <w:t>Koseoglu</w:t>
      </w:r>
      <w:proofErr w:type="spellEnd"/>
      <w:r w:rsidRPr="00E402E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402E2">
        <w:rPr>
          <w:rFonts w:ascii="Times New Roman" w:hAnsi="Times New Roman" w:cs="Times New Roman"/>
          <w:sz w:val="24"/>
        </w:rPr>
        <w:t>Arsia</w:t>
      </w:r>
      <w:proofErr w:type="spellEnd"/>
      <w:r w:rsidRPr="00E402E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02E2">
        <w:rPr>
          <w:rFonts w:ascii="Times New Roman" w:hAnsi="Times New Roman" w:cs="Times New Roman"/>
          <w:sz w:val="24"/>
        </w:rPr>
        <w:t>Jamali</w:t>
      </w:r>
      <w:proofErr w:type="spellEnd"/>
      <w:r w:rsidRPr="00E402E2">
        <w:rPr>
          <w:rFonts w:ascii="Times New Roman" w:hAnsi="Times New Roman" w:cs="Times New Roman"/>
          <w:sz w:val="24"/>
        </w:rPr>
        <w:t xml:space="preserve">, Ricardo Nose, </w:t>
      </w:r>
      <w:proofErr w:type="spellStart"/>
      <w:r w:rsidRPr="00E402E2">
        <w:rPr>
          <w:rFonts w:ascii="Times New Roman" w:hAnsi="Times New Roman" w:cs="Times New Roman"/>
          <w:sz w:val="24"/>
        </w:rPr>
        <w:t>Anam</w:t>
      </w:r>
      <w:proofErr w:type="spellEnd"/>
      <w:r w:rsidRPr="00E402E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02E2">
        <w:rPr>
          <w:rFonts w:ascii="Times New Roman" w:hAnsi="Times New Roman" w:cs="Times New Roman"/>
          <w:sz w:val="24"/>
        </w:rPr>
        <w:t>Akhlaq</w:t>
      </w:r>
      <w:proofErr w:type="spellEnd"/>
      <w:r w:rsidRPr="00E402E2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Afsun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Sahin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Pedram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Hamrah</w:t>
      </w:r>
      <w:proofErr w:type="spellEnd"/>
    </w:p>
    <w:p w:rsidR="00E402E2" w:rsidRPr="00E402E2" w:rsidRDefault="00E402E2">
      <w:pPr>
        <w:rPr>
          <w:rFonts w:ascii="Times New Roman" w:hAnsi="Times New Roman" w:cs="Times New Roman"/>
        </w:rPr>
      </w:pPr>
      <w:r w:rsidRPr="00E402E2">
        <w:rPr>
          <w:rFonts w:ascii="Times New Roman" w:hAnsi="Times New Roman" w:cs="Times New Roman"/>
        </w:rPr>
        <w:t>Tufts University School of Medicine, USA</w:t>
      </w:r>
    </w:p>
    <w:p w:rsidR="00E402E2" w:rsidRPr="00E402E2" w:rsidRDefault="00E402E2" w:rsidP="00E402E2">
      <w:pPr>
        <w:jc w:val="center"/>
        <w:rPr>
          <w:rFonts w:ascii="Times New Roman" w:hAnsi="Times New Roman" w:cs="Times New Roman"/>
          <w:b/>
          <w:sz w:val="24"/>
        </w:rPr>
      </w:pPr>
      <w:r w:rsidRPr="00E402E2">
        <w:rPr>
          <w:rFonts w:ascii="Times New Roman" w:hAnsi="Times New Roman" w:cs="Times New Roman"/>
          <w:b/>
          <w:sz w:val="24"/>
        </w:rPr>
        <w:t>Abstract</w:t>
      </w:r>
    </w:p>
    <w:p w:rsidR="00E402E2" w:rsidRPr="00E402E2" w:rsidRDefault="00E402E2" w:rsidP="00E402E2">
      <w:pPr>
        <w:jc w:val="both"/>
        <w:rPr>
          <w:rFonts w:ascii="Times New Roman" w:hAnsi="Times New Roman" w:cs="Times New Roman"/>
          <w:sz w:val="20"/>
        </w:rPr>
      </w:pPr>
      <w:r w:rsidRPr="00E402E2">
        <w:rPr>
          <w:rFonts w:ascii="Times New Roman" w:hAnsi="Times New Roman" w:cs="Times New Roman"/>
          <w:b/>
          <w:sz w:val="20"/>
        </w:rPr>
        <w:t>Purpose:</w:t>
      </w:r>
      <w:r w:rsidRPr="00E402E2">
        <w:rPr>
          <w:rFonts w:ascii="Times New Roman" w:hAnsi="Times New Roman" w:cs="Times New Roman"/>
          <w:sz w:val="20"/>
        </w:rPr>
        <w:t xml:space="preserve"> We aim to evaluate the impact of </w:t>
      </w:r>
      <w:r w:rsidRPr="00E402E2">
        <w:rPr>
          <w:rFonts w:ascii="Times New Roman" w:hAnsi="Times New Roman" w:cs="Times New Roman"/>
          <w:sz w:val="20"/>
        </w:rPr>
        <w:t xml:space="preserve">Contact Lens Discomfort </w:t>
      </w:r>
      <w:r w:rsidRPr="00E402E2">
        <w:rPr>
          <w:rFonts w:ascii="Times New Roman" w:hAnsi="Times New Roman" w:cs="Times New Roman"/>
          <w:sz w:val="20"/>
        </w:rPr>
        <w:t xml:space="preserve">(CLD) on </w:t>
      </w:r>
      <w:r w:rsidRPr="00E402E2">
        <w:rPr>
          <w:rFonts w:ascii="Times New Roman" w:hAnsi="Times New Roman" w:cs="Times New Roman"/>
          <w:sz w:val="20"/>
        </w:rPr>
        <w:t xml:space="preserve">Quality </w:t>
      </w:r>
      <w:r w:rsidRPr="00E402E2">
        <w:rPr>
          <w:rFonts w:ascii="Times New Roman" w:hAnsi="Times New Roman" w:cs="Times New Roman"/>
          <w:sz w:val="20"/>
        </w:rPr>
        <w:t xml:space="preserve">of </w:t>
      </w:r>
      <w:r w:rsidRPr="00E402E2">
        <w:rPr>
          <w:rFonts w:ascii="Times New Roman" w:hAnsi="Times New Roman" w:cs="Times New Roman"/>
          <w:sz w:val="20"/>
        </w:rPr>
        <w:t xml:space="preserve">Life </w:t>
      </w:r>
      <w:r w:rsidRPr="00E402E2">
        <w:rPr>
          <w:rFonts w:ascii="Times New Roman" w:hAnsi="Times New Roman" w:cs="Times New Roman"/>
          <w:sz w:val="20"/>
        </w:rPr>
        <w:t>(</w:t>
      </w:r>
      <w:proofErr w:type="spellStart"/>
      <w:r w:rsidRPr="00E402E2">
        <w:rPr>
          <w:rFonts w:ascii="Times New Roman" w:hAnsi="Times New Roman" w:cs="Times New Roman"/>
          <w:sz w:val="20"/>
        </w:rPr>
        <w:t>QoL</w:t>
      </w:r>
      <w:proofErr w:type="spellEnd"/>
      <w:r w:rsidRPr="00E402E2">
        <w:rPr>
          <w:rFonts w:ascii="Times New Roman" w:hAnsi="Times New Roman" w:cs="Times New Roman"/>
          <w:sz w:val="20"/>
        </w:rPr>
        <w:t>) dimensions.</w:t>
      </w:r>
    </w:p>
    <w:p w:rsidR="00E402E2" w:rsidRPr="00E402E2" w:rsidRDefault="00E402E2" w:rsidP="00E402E2">
      <w:pPr>
        <w:jc w:val="both"/>
        <w:rPr>
          <w:rFonts w:ascii="Times New Roman" w:hAnsi="Times New Roman" w:cs="Times New Roman"/>
          <w:sz w:val="20"/>
        </w:rPr>
      </w:pPr>
      <w:r w:rsidRPr="00E402E2">
        <w:rPr>
          <w:rFonts w:ascii="Times New Roman" w:hAnsi="Times New Roman" w:cs="Times New Roman"/>
          <w:b/>
          <w:sz w:val="20"/>
        </w:rPr>
        <w:t>Methods:</w:t>
      </w:r>
      <w:r w:rsidRPr="00E402E2">
        <w:rPr>
          <w:rFonts w:ascii="Times New Roman" w:hAnsi="Times New Roman" w:cs="Times New Roman"/>
          <w:sz w:val="20"/>
        </w:rPr>
        <w:t xml:space="preserve"> This prospective, cross-sectional, controlled, included 91 subjects in 5 groups: controls (n=18), asymptomatic (n=18), symptomatic (n=19), intolerant CLW (n=18), neuropathic corneal pain (NCP; n=18). Ocular pain was assessed by visual analogue scale and </w:t>
      </w:r>
      <w:proofErr w:type="spellStart"/>
      <w:r w:rsidRPr="00E402E2">
        <w:rPr>
          <w:rFonts w:ascii="Times New Roman" w:hAnsi="Times New Roman" w:cs="Times New Roman"/>
          <w:sz w:val="20"/>
        </w:rPr>
        <w:t>QoL</w:t>
      </w:r>
      <w:proofErr w:type="spellEnd"/>
      <w:r w:rsidRPr="00E402E2">
        <w:rPr>
          <w:rFonts w:ascii="Times New Roman" w:hAnsi="Times New Roman" w:cs="Times New Roman"/>
          <w:sz w:val="20"/>
        </w:rPr>
        <w:t xml:space="preserve"> dimensions using Ocular Pain Assessment Survey (0-10). The age groups were defined as patients aged &lt;35 and ≥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35 years.</w:t>
      </w:r>
    </w:p>
    <w:p w:rsidR="00E402E2" w:rsidRDefault="00E402E2" w:rsidP="00E402E2">
      <w:pPr>
        <w:jc w:val="both"/>
        <w:rPr>
          <w:rFonts w:ascii="Times New Roman" w:hAnsi="Times New Roman" w:cs="Times New Roman"/>
          <w:sz w:val="20"/>
        </w:rPr>
      </w:pPr>
      <w:r w:rsidRPr="00E402E2">
        <w:rPr>
          <w:rFonts w:ascii="Times New Roman" w:hAnsi="Times New Roman" w:cs="Times New Roman"/>
          <w:b/>
          <w:sz w:val="20"/>
        </w:rPr>
        <w:t>Results: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Subjects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included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46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males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and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42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females,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aged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39.7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 xml:space="preserve">13.3 years. Symptomatic/intolerant CLW reported higher pain than controls (p&lt;0.001), but lower than NCP (p&lt;0.001). </w:t>
      </w:r>
      <w:proofErr w:type="spellStart"/>
      <w:r w:rsidRPr="00E402E2">
        <w:rPr>
          <w:rFonts w:ascii="Times New Roman" w:hAnsi="Times New Roman" w:cs="Times New Roman"/>
          <w:sz w:val="20"/>
        </w:rPr>
        <w:t>QoL</w:t>
      </w:r>
      <w:proofErr w:type="spellEnd"/>
      <w:r w:rsidRPr="00E402E2">
        <w:rPr>
          <w:rFonts w:ascii="Times New Roman" w:hAnsi="Times New Roman" w:cs="Times New Roman"/>
          <w:sz w:val="20"/>
        </w:rPr>
        <w:t xml:space="preserve"> in symptomatic/intolerant CLW were higher in physical dimension, compared to controls (p&lt;0.001). Symptomatic/intolerant CLW reported higher score in psychological/social dimensions (p&lt;0.001), but lower than NCP (p&lt;0.01). Pain correlated with </w:t>
      </w:r>
      <w:proofErr w:type="spellStart"/>
      <w:r w:rsidRPr="00E402E2">
        <w:rPr>
          <w:rFonts w:ascii="Times New Roman" w:hAnsi="Times New Roman" w:cs="Times New Roman"/>
          <w:sz w:val="20"/>
        </w:rPr>
        <w:t>QoL</w:t>
      </w:r>
      <w:proofErr w:type="spellEnd"/>
      <w:r w:rsidRPr="00E402E2">
        <w:rPr>
          <w:rFonts w:ascii="Times New Roman" w:hAnsi="Times New Roman" w:cs="Times New Roman"/>
          <w:sz w:val="20"/>
        </w:rPr>
        <w:t xml:space="preserve"> dimensions significantly for symptomatic/intolerant CLW, but not for controls.</w:t>
      </w:r>
      <w:r>
        <w:rPr>
          <w:rFonts w:ascii="Times New Roman" w:hAnsi="Times New Roman" w:cs="Times New Roman"/>
          <w:sz w:val="20"/>
        </w:rPr>
        <w:t xml:space="preserve"> [Table </w:t>
      </w:r>
      <w:r w:rsidRPr="00E402E2">
        <w:rPr>
          <w:rFonts w:ascii="Times New Roman" w:hAnsi="Times New Roman" w:cs="Times New Roman"/>
          <w:sz w:val="20"/>
        </w:rPr>
        <w:t>1</w:t>
      </w:r>
      <w:r>
        <w:rPr>
          <w:rFonts w:ascii="Times New Roman" w:hAnsi="Times New Roman" w:cs="Times New Roman"/>
          <w:sz w:val="20"/>
        </w:rPr>
        <w:t>]</w:t>
      </w:r>
      <w:r w:rsidRPr="00E402E2">
        <w:rPr>
          <w:rFonts w:ascii="Times New Roman" w:hAnsi="Times New Roman" w:cs="Times New Roman"/>
          <w:sz w:val="20"/>
        </w:rPr>
        <w:t xml:space="preserve"> Correlations were significant in </w:t>
      </w:r>
      <w:proofErr w:type="spellStart"/>
      <w:r w:rsidRPr="00E402E2">
        <w:rPr>
          <w:rFonts w:ascii="Times New Roman" w:hAnsi="Times New Roman" w:cs="Times New Roman"/>
          <w:sz w:val="20"/>
        </w:rPr>
        <w:t>QoL</w:t>
      </w:r>
      <w:proofErr w:type="spellEnd"/>
      <w:r w:rsidRPr="00E402E2">
        <w:rPr>
          <w:rFonts w:ascii="Times New Roman" w:hAnsi="Times New Roman" w:cs="Times New Roman"/>
          <w:sz w:val="20"/>
        </w:rPr>
        <w:t xml:space="preserve"> dimensions for symptomatic CLW at all ages. Intolerant CLW&lt;35 showed interference of pain on sleep; intolerant CLW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>≥</w:t>
      </w:r>
      <w:r>
        <w:rPr>
          <w:rFonts w:ascii="Times New Roman" w:hAnsi="Times New Roman" w:cs="Times New Roman"/>
          <w:sz w:val="20"/>
        </w:rPr>
        <w:t xml:space="preserve"> </w:t>
      </w:r>
      <w:r w:rsidRPr="00E402E2">
        <w:rPr>
          <w:rFonts w:ascii="Times New Roman" w:hAnsi="Times New Roman" w:cs="Times New Roman"/>
          <w:sz w:val="20"/>
        </w:rPr>
        <w:t xml:space="preserve">35 showed strong interference on the vision-related physical and psychological dimensions (p=0.01) </w:t>
      </w:r>
      <w:r w:rsidRPr="00E402E2">
        <w:rPr>
          <w:rFonts w:ascii="Times New Roman" w:hAnsi="Times New Roman" w:cs="Times New Roman"/>
          <w:sz w:val="20"/>
        </w:rPr>
        <w:t>the</w:t>
      </w:r>
      <w:r w:rsidRPr="00E402E2">
        <w:rPr>
          <w:rFonts w:ascii="Times New Roman" w:hAnsi="Times New Roman" w:cs="Times New Roman"/>
          <w:sz w:val="20"/>
        </w:rPr>
        <w:t xml:space="preserve"> social dimension was not different between any group. Results did not show significant gender differences.</w:t>
      </w:r>
    </w:p>
    <w:p w:rsidR="00E402E2" w:rsidRPr="00E402E2" w:rsidRDefault="00E402E2" w:rsidP="00E402E2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1"/>
      <w:proofErr w:type="gramStart"/>
      <w:r w:rsidRPr="00E402E2">
        <w:rPr>
          <w:rFonts w:ascii="Times New Roman" w:hAnsi="Times New Roman" w:cs="Times New Roman"/>
          <w:b/>
          <w:i/>
          <w:sz w:val="18"/>
        </w:rPr>
        <w:t>Table 1.</w:t>
      </w:r>
      <w:commentRangeEnd w:id="1"/>
      <w:proofErr w:type="gramEnd"/>
      <w:r>
        <w:rPr>
          <w:rStyle w:val="CommentReference"/>
        </w:rPr>
        <w:commentReference w:id="1"/>
      </w:r>
    </w:p>
    <w:tbl>
      <w:tblPr>
        <w:tblW w:w="0" w:type="auto"/>
        <w:jc w:val="center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2"/>
        <w:gridCol w:w="1810"/>
        <w:gridCol w:w="1690"/>
        <w:gridCol w:w="1786"/>
      </w:tblGrid>
      <w:tr w:rsidR="00E402E2" w:rsidRPr="00E402E2" w:rsidTr="00E402E2">
        <w:trPr>
          <w:trHeight w:val="508"/>
          <w:jc w:val="center"/>
        </w:trPr>
        <w:tc>
          <w:tcPr>
            <w:tcW w:w="1402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402E2">
              <w:rPr>
                <w:rFonts w:ascii="Arial" w:hAnsi="Arial" w:cs="Arial"/>
                <w:b/>
                <w:sz w:val="14"/>
                <w:szCs w:val="14"/>
              </w:rPr>
              <w:t>Pain</w:t>
            </w:r>
            <w:r w:rsidRPr="00E402E2">
              <w:rPr>
                <w:rFonts w:ascii="Arial" w:hAnsi="Arial" w:cs="Arial"/>
                <w:b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b/>
                <w:sz w:val="14"/>
                <w:szCs w:val="14"/>
              </w:rPr>
              <w:t>in</w:t>
            </w:r>
          </w:p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402E2">
              <w:rPr>
                <w:rFonts w:ascii="Arial" w:hAnsi="Arial" w:cs="Arial"/>
                <w:b/>
                <w:sz w:val="14"/>
                <w:szCs w:val="14"/>
              </w:rPr>
              <w:t>2</w:t>
            </w:r>
            <w:r w:rsidRPr="00E402E2">
              <w:rPr>
                <w:rFonts w:ascii="Arial" w:hAnsi="Arial" w:cs="Arial"/>
                <w:b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b/>
                <w:sz w:val="14"/>
                <w:szCs w:val="14"/>
              </w:rPr>
              <w:t>Weeks/</w:t>
            </w:r>
          </w:p>
        </w:tc>
        <w:tc>
          <w:tcPr>
            <w:tcW w:w="3500" w:type="dxa"/>
            <w:gridSpan w:val="2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402E2">
              <w:rPr>
                <w:rFonts w:ascii="Arial" w:hAnsi="Arial" w:cs="Arial"/>
                <w:b/>
                <w:sz w:val="14"/>
                <w:szCs w:val="14"/>
              </w:rPr>
              <w:t>Contact</w:t>
            </w:r>
            <w:r w:rsidRPr="00E402E2">
              <w:rPr>
                <w:rFonts w:ascii="Arial" w:hAnsi="Arial" w:cs="Arial"/>
                <w:b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b/>
                <w:sz w:val="14"/>
                <w:szCs w:val="14"/>
              </w:rPr>
              <w:t>Lens</w:t>
            </w:r>
            <w:r w:rsidRPr="00E402E2">
              <w:rPr>
                <w:rFonts w:ascii="Arial" w:hAnsi="Arial" w:cs="Arial"/>
                <w:b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b/>
                <w:sz w:val="14"/>
                <w:szCs w:val="14"/>
              </w:rPr>
              <w:t>Wear:</w:t>
            </w:r>
          </w:p>
        </w:tc>
        <w:tc>
          <w:tcPr>
            <w:tcW w:w="1786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402E2" w:rsidRPr="00E402E2" w:rsidTr="00E402E2">
        <w:trPr>
          <w:trHeight w:val="297"/>
          <w:jc w:val="center"/>
        </w:trPr>
        <w:tc>
          <w:tcPr>
            <w:tcW w:w="1402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r w:rsidRPr="00E402E2">
              <w:rPr>
                <w:rFonts w:ascii="Arial" w:hAnsi="Arial" w:cs="Arial"/>
                <w:b/>
                <w:sz w:val="14"/>
                <w:szCs w:val="14"/>
              </w:rPr>
              <w:t>QoL</w:t>
            </w:r>
            <w:proofErr w:type="spellEnd"/>
          </w:p>
        </w:tc>
        <w:tc>
          <w:tcPr>
            <w:tcW w:w="181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402E2">
              <w:rPr>
                <w:rFonts w:ascii="Arial" w:hAnsi="Arial" w:cs="Arial"/>
                <w:b/>
                <w:sz w:val="14"/>
                <w:szCs w:val="14"/>
              </w:rPr>
              <w:t>Symptomatic</w:t>
            </w:r>
          </w:p>
        </w:tc>
        <w:tc>
          <w:tcPr>
            <w:tcW w:w="169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402E2">
              <w:rPr>
                <w:rFonts w:ascii="Arial" w:hAnsi="Arial" w:cs="Arial"/>
                <w:b/>
                <w:sz w:val="14"/>
                <w:szCs w:val="14"/>
              </w:rPr>
              <w:t>Intolerant</w:t>
            </w:r>
          </w:p>
        </w:tc>
        <w:tc>
          <w:tcPr>
            <w:tcW w:w="1786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402E2">
              <w:rPr>
                <w:rFonts w:ascii="Arial" w:hAnsi="Arial" w:cs="Arial"/>
                <w:b/>
                <w:sz w:val="14"/>
                <w:szCs w:val="14"/>
              </w:rPr>
              <w:t>NCP</w:t>
            </w:r>
          </w:p>
        </w:tc>
      </w:tr>
      <w:tr w:rsidR="00E402E2" w:rsidRPr="00E402E2" w:rsidTr="00E402E2">
        <w:trPr>
          <w:trHeight w:val="302"/>
          <w:jc w:val="center"/>
        </w:trPr>
        <w:tc>
          <w:tcPr>
            <w:tcW w:w="1402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Reading/PC</w:t>
            </w:r>
          </w:p>
        </w:tc>
        <w:tc>
          <w:tcPr>
            <w:tcW w:w="181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0.90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p&lt;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0.0001</w:t>
            </w:r>
          </w:p>
        </w:tc>
        <w:tc>
          <w:tcPr>
            <w:tcW w:w="169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0.40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1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0.148</w:t>
            </w:r>
          </w:p>
        </w:tc>
        <w:tc>
          <w:tcPr>
            <w:tcW w:w="1786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0.28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0.289</w:t>
            </w:r>
          </w:p>
        </w:tc>
      </w:tr>
      <w:tr w:rsidR="00E402E2" w:rsidRPr="00E402E2" w:rsidTr="00E402E2">
        <w:trPr>
          <w:trHeight w:val="297"/>
          <w:jc w:val="center"/>
        </w:trPr>
        <w:tc>
          <w:tcPr>
            <w:tcW w:w="1402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Driving/</w:t>
            </w:r>
            <w:r w:rsidRPr="00E402E2">
              <w:rPr>
                <w:rFonts w:ascii="Arial" w:hAnsi="Arial" w:cs="Arial"/>
                <w:spacing w:val="-4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TV</w:t>
            </w:r>
          </w:p>
        </w:tc>
        <w:tc>
          <w:tcPr>
            <w:tcW w:w="181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0.86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p&lt;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0.0001</w:t>
            </w:r>
          </w:p>
        </w:tc>
        <w:tc>
          <w:tcPr>
            <w:tcW w:w="169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0.57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0.035</w:t>
            </w:r>
          </w:p>
        </w:tc>
        <w:tc>
          <w:tcPr>
            <w:tcW w:w="1786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0.19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0.488</w:t>
            </w:r>
          </w:p>
        </w:tc>
      </w:tr>
      <w:tr w:rsidR="00E402E2" w:rsidRPr="00E402E2" w:rsidTr="00E402E2">
        <w:trPr>
          <w:trHeight w:val="301"/>
          <w:jc w:val="center"/>
        </w:trPr>
        <w:tc>
          <w:tcPr>
            <w:tcW w:w="1402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Gen.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Act.</w:t>
            </w:r>
          </w:p>
        </w:tc>
        <w:tc>
          <w:tcPr>
            <w:tcW w:w="181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0.86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p&lt;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0.0001</w:t>
            </w:r>
          </w:p>
        </w:tc>
        <w:tc>
          <w:tcPr>
            <w:tcW w:w="169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0.45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0.123</w:t>
            </w:r>
          </w:p>
        </w:tc>
        <w:tc>
          <w:tcPr>
            <w:tcW w:w="1786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-0.16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0.566</w:t>
            </w:r>
          </w:p>
        </w:tc>
      </w:tr>
      <w:tr w:rsidR="00E402E2" w:rsidRPr="00E402E2" w:rsidTr="00E402E2">
        <w:trPr>
          <w:trHeight w:val="302"/>
          <w:jc w:val="center"/>
        </w:trPr>
        <w:tc>
          <w:tcPr>
            <w:tcW w:w="1402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Mood</w:t>
            </w:r>
          </w:p>
        </w:tc>
        <w:tc>
          <w:tcPr>
            <w:tcW w:w="181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0.78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0.0002</w:t>
            </w:r>
          </w:p>
        </w:tc>
        <w:tc>
          <w:tcPr>
            <w:tcW w:w="169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0.57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0.043</w:t>
            </w:r>
          </w:p>
        </w:tc>
        <w:tc>
          <w:tcPr>
            <w:tcW w:w="1786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0.31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0.239</w:t>
            </w:r>
          </w:p>
        </w:tc>
      </w:tr>
      <w:tr w:rsidR="00E402E2" w:rsidRPr="00E402E2" w:rsidTr="00E402E2">
        <w:trPr>
          <w:trHeight w:val="297"/>
          <w:jc w:val="center"/>
        </w:trPr>
        <w:tc>
          <w:tcPr>
            <w:tcW w:w="1402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Sleep</w:t>
            </w:r>
          </w:p>
        </w:tc>
        <w:tc>
          <w:tcPr>
            <w:tcW w:w="181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0.78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0.0003</w:t>
            </w:r>
          </w:p>
        </w:tc>
        <w:tc>
          <w:tcPr>
            <w:tcW w:w="169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0.53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0.063</w:t>
            </w:r>
          </w:p>
        </w:tc>
        <w:tc>
          <w:tcPr>
            <w:tcW w:w="1786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0.43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0.109</w:t>
            </w:r>
          </w:p>
        </w:tc>
      </w:tr>
      <w:tr w:rsidR="00E402E2" w:rsidRPr="00E402E2" w:rsidTr="00E402E2">
        <w:trPr>
          <w:trHeight w:val="301"/>
          <w:jc w:val="center"/>
        </w:trPr>
        <w:tc>
          <w:tcPr>
            <w:tcW w:w="1402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Life/Relations</w:t>
            </w:r>
          </w:p>
        </w:tc>
        <w:tc>
          <w:tcPr>
            <w:tcW w:w="181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3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0.78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0.0002</w:t>
            </w:r>
          </w:p>
        </w:tc>
        <w:tc>
          <w:tcPr>
            <w:tcW w:w="1690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0.52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0.070</w:t>
            </w:r>
          </w:p>
        </w:tc>
        <w:tc>
          <w:tcPr>
            <w:tcW w:w="1786" w:type="dxa"/>
          </w:tcPr>
          <w:p w:rsidR="00E402E2" w:rsidRPr="00E402E2" w:rsidRDefault="00E402E2" w:rsidP="00E402E2">
            <w:pPr>
              <w:pStyle w:val="TableParagraph"/>
              <w:spacing w:before="0" w:line="276" w:lineRule="auto"/>
              <w:ind w:left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02E2">
              <w:rPr>
                <w:rFonts w:ascii="Arial" w:hAnsi="Arial" w:cs="Arial"/>
                <w:sz w:val="14"/>
                <w:szCs w:val="14"/>
              </w:rPr>
              <w:t>r=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0.05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p=</w:t>
            </w:r>
            <w:r w:rsidRPr="00E402E2">
              <w:rPr>
                <w:rFonts w:ascii="Arial" w:hAnsi="Arial" w:cs="Arial"/>
                <w:spacing w:val="-2"/>
                <w:sz w:val="14"/>
                <w:szCs w:val="14"/>
              </w:rPr>
              <w:t xml:space="preserve"> </w:t>
            </w:r>
            <w:r w:rsidRPr="00E402E2">
              <w:rPr>
                <w:rFonts w:ascii="Arial" w:hAnsi="Arial" w:cs="Arial"/>
                <w:sz w:val="14"/>
                <w:szCs w:val="14"/>
              </w:rPr>
              <w:t>0.861</w:t>
            </w:r>
          </w:p>
        </w:tc>
      </w:tr>
    </w:tbl>
    <w:p w:rsidR="00E402E2" w:rsidRPr="00E402E2" w:rsidRDefault="00E402E2" w:rsidP="00E402E2">
      <w:pPr>
        <w:spacing w:before="200"/>
        <w:jc w:val="both"/>
        <w:rPr>
          <w:rFonts w:ascii="Times New Roman" w:hAnsi="Times New Roman" w:cs="Times New Roman"/>
          <w:sz w:val="20"/>
        </w:rPr>
      </w:pPr>
      <w:r w:rsidRPr="00E402E2">
        <w:rPr>
          <w:rFonts w:ascii="Times New Roman" w:hAnsi="Times New Roman" w:cs="Times New Roman"/>
          <w:b/>
          <w:sz w:val="20"/>
        </w:rPr>
        <w:t>Conclusion:</w:t>
      </w:r>
      <w:r w:rsidRPr="00E402E2">
        <w:rPr>
          <w:rFonts w:ascii="Times New Roman" w:hAnsi="Times New Roman" w:cs="Times New Roman"/>
          <w:sz w:val="20"/>
        </w:rPr>
        <w:t xml:space="preserve"> In symptomatic/intolerant CLW pain has increased interference on all </w:t>
      </w:r>
      <w:proofErr w:type="spellStart"/>
      <w:r w:rsidRPr="00E402E2">
        <w:rPr>
          <w:rFonts w:ascii="Times New Roman" w:hAnsi="Times New Roman" w:cs="Times New Roman"/>
          <w:sz w:val="20"/>
        </w:rPr>
        <w:t>QoL</w:t>
      </w:r>
      <w:proofErr w:type="spellEnd"/>
      <w:r w:rsidRPr="00E402E2">
        <w:rPr>
          <w:rFonts w:ascii="Times New Roman" w:hAnsi="Times New Roman" w:cs="Times New Roman"/>
          <w:sz w:val="20"/>
        </w:rPr>
        <w:t xml:space="preserve"> dimensions compared to controls and asymptomatic CLW, but not as high as in NCP.</w:t>
      </w:r>
    </w:p>
    <w:p w:rsidR="00E402E2" w:rsidRDefault="00E402E2" w:rsidP="00E402E2">
      <w:pPr>
        <w:jc w:val="both"/>
        <w:rPr>
          <w:rFonts w:ascii="Times New Roman" w:hAnsi="Times New Roman" w:cs="Times New Roman"/>
          <w:sz w:val="20"/>
        </w:rPr>
      </w:pPr>
      <w:r w:rsidRPr="00E402E2">
        <w:rPr>
          <w:rFonts w:ascii="Times New Roman" w:hAnsi="Times New Roman" w:cs="Times New Roman"/>
          <w:b/>
          <w:sz w:val="20"/>
        </w:rPr>
        <w:t>Keyword</w:t>
      </w:r>
      <w:r w:rsidRPr="00E402E2">
        <w:rPr>
          <w:rFonts w:ascii="Times New Roman" w:hAnsi="Times New Roman" w:cs="Times New Roman"/>
          <w:b/>
          <w:sz w:val="20"/>
        </w:rPr>
        <w:t>s</w:t>
      </w:r>
      <w:r w:rsidRPr="00E402E2">
        <w:rPr>
          <w:rFonts w:ascii="Times New Roman" w:hAnsi="Times New Roman" w:cs="Times New Roman"/>
          <w:b/>
          <w:sz w:val="20"/>
        </w:rPr>
        <w:t>:</w:t>
      </w:r>
      <w:r w:rsidRPr="00E402E2">
        <w:rPr>
          <w:rFonts w:ascii="Times New Roman" w:hAnsi="Times New Roman" w:cs="Times New Roman"/>
          <w:sz w:val="20"/>
        </w:rPr>
        <w:t xml:space="preserve"> Contact lens wear, </w:t>
      </w:r>
      <w:r w:rsidRPr="00E402E2">
        <w:rPr>
          <w:rFonts w:ascii="Times New Roman" w:hAnsi="Times New Roman" w:cs="Times New Roman"/>
          <w:sz w:val="20"/>
        </w:rPr>
        <w:t xml:space="preserve">Contact </w:t>
      </w:r>
      <w:r w:rsidRPr="00E402E2">
        <w:rPr>
          <w:rFonts w:ascii="Times New Roman" w:hAnsi="Times New Roman" w:cs="Times New Roman"/>
          <w:sz w:val="20"/>
        </w:rPr>
        <w:t>lens discomfort</w:t>
      </w:r>
      <w:r>
        <w:rPr>
          <w:rFonts w:ascii="Times New Roman" w:hAnsi="Times New Roman" w:cs="Times New Roman"/>
          <w:sz w:val="20"/>
        </w:rPr>
        <w:t>,</w:t>
      </w:r>
      <w:r w:rsidRPr="00E402E2">
        <w:rPr>
          <w:rFonts w:ascii="Times New Roman" w:hAnsi="Times New Roman" w:cs="Times New Roman"/>
          <w:sz w:val="20"/>
        </w:rPr>
        <w:t xml:space="preserve"> Quality of life</w:t>
      </w:r>
      <w:r>
        <w:rPr>
          <w:rFonts w:ascii="Times New Roman" w:hAnsi="Times New Roman" w:cs="Times New Roman"/>
          <w:sz w:val="20"/>
        </w:rPr>
        <w:t>,</w:t>
      </w:r>
      <w:r w:rsidRPr="00E402E2">
        <w:rPr>
          <w:rFonts w:ascii="Times New Roman" w:hAnsi="Times New Roman" w:cs="Times New Roman"/>
          <w:sz w:val="20"/>
        </w:rPr>
        <w:t xml:space="preserve"> Eye pain</w:t>
      </w:r>
      <w:r>
        <w:rPr>
          <w:rFonts w:ascii="Times New Roman" w:hAnsi="Times New Roman" w:cs="Times New Roman"/>
          <w:sz w:val="20"/>
        </w:rPr>
        <w:t>,</w:t>
      </w:r>
      <w:r w:rsidRPr="00E402E2">
        <w:rPr>
          <w:rFonts w:ascii="Times New Roman" w:hAnsi="Times New Roman" w:cs="Times New Roman"/>
          <w:sz w:val="20"/>
        </w:rPr>
        <w:t xml:space="preserve"> Contact lens intolerant, </w:t>
      </w:r>
      <w:r w:rsidRPr="00E402E2">
        <w:rPr>
          <w:rFonts w:ascii="Times New Roman" w:hAnsi="Times New Roman" w:cs="Times New Roman"/>
          <w:sz w:val="20"/>
        </w:rPr>
        <w:t xml:space="preserve">Neuropathic </w:t>
      </w:r>
      <w:r w:rsidRPr="00E402E2">
        <w:rPr>
          <w:rFonts w:ascii="Times New Roman" w:hAnsi="Times New Roman" w:cs="Times New Roman"/>
          <w:sz w:val="20"/>
        </w:rPr>
        <w:t>corneal pain</w:t>
      </w:r>
      <w:r>
        <w:rPr>
          <w:rFonts w:ascii="Times New Roman" w:hAnsi="Times New Roman" w:cs="Times New Roman"/>
          <w:sz w:val="20"/>
        </w:rPr>
        <w:t>.</w:t>
      </w:r>
    </w:p>
    <w:p w:rsidR="00E402E2" w:rsidRPr="00E402E2" w:rsidRDefault="00E402E2" w:rsidP="00E402E2">
      <w:pPr>
        <w:rPr>
          <w:rFonts w:ascii="Times New Roman" w:hAnsi="Times New Roman" w:cs="Times New Roman"/>
          <w:b/>
          <w:sz w:val="24"/>
        </w:rPr>
      </w:pPr>
      <w:r w:rsidRPr="00E402E2">
        <w:rPr>
          <w:rFonts w:ascii="Times New Roman" w:hAnsi="Times New Roman" w:cs="Times New Roman"/>
          <w:b/>
          <w:sz w:val="24"/>
        </w:rPr>
        <w:t>Biography</w:t>
      </w:r>
    </w:p>
    <w:p w:rsidR="00E402E2" w:rsidRPr="00E402E2" w:rsidRDefault="00E402E2" w:rsidP="00E402E2">
      <w:pPr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E402E2">
        <w:rPr>
          <w:rFonts w:ascii="Times New Roman" w:hAnsi="Times New Roman" w:cs="Times New Roman"/>
          <w:sz w:val="20"/>
        </w:rPr>
        <w:t>Leyla</w:t>
      </w:r>
      <w:proofErr w:type="spellEnd"/>
      <w:r w:rsidRPr="00E402E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402E2">
        <w:rPr>
          <w:rFonts w:ascii="Times New Roman" w:hAnsi="Times New Roman" w:cs="Times New Roman"/>
          <w:sz w:val="20"/>
        </w:rPr>
        <w:t>Mirzaee</w:t>
      </w:r>
      <w:proofErr w:type="spellEnd"/>
      <w:r w:rsidRPr="00E402E2">
        <w:rPr>
          <w:rFonts w:ascii="Times New Roman" w:hAnsi="Times New Roman" w:cs="Times New Roman"/>
          <w:sz w:val="20"/>
        </w:rPr>
        <w:t xml:space="preserve"> gained her doctorate degree in medical science from </w:t>
      </w:r>
      <w:proofErr w:type="spellStart"/>
      <w:r w:rsidRPr="00E402E2">
        <w:rPr>
          <w:rFonts w:ascii="Times New Roman" w:hAnsi="Times New Roman" w:cs="Times New Roman"/>
          <w:sz w:val="20"/>
        </w:rPr>
        <w:t>Charité</w:t>
      </w:r>
      <w:proofErr w:type="spellEnd"/>
      <w:r w:rsidRPr="00E402E2">
        <w:rPr>
          <w:rFonts w:ascii="Times New Roman" w:hAnsi="Times New Roman" w:cs="Times New Roman"/>
          <w:sz w:val="20"/>
        </w:rPr>
        <w:t xml:space="preserve"> in Berlin, Germany. She has expertise in health care manag</w:t>
      </w:r>
      <w:r>
        <w:rPr>
          <w:rFonts w:ascii="Times New Roman" w:hAnsi="Times New Roman" w:cs="Times New Roman"/>
          <w:sz w:val="20"/>
        </w:rPr>
        <w:t>ement and evaluation of health-</w:t>
      </w:r>
      <w:r w:rsidRPr="00E402E2">
        <w:rPr>
          <w:rFonts w:ascii="Times New Roman" w:hAnsi="Times New Roman" w:cs="Times New Roman"/>
          <w:sz w:val="20"/>
        </w:rPr>
        <w:t xml:space="preserve">related quality of life. Her experience is either in academic and </w:t>
      </w:r>
      <w:r w:rsidRPr="00E402E2">
        <w:rPr>
          <w:rFonts w:ascii="Times New Roman" w:hAnsi="Times New Roman" w:cs="Times New Roman"/>
          <w:sz w:val="20"/>
        </w:rPr>
        <w:lastRenderedPageBreak/>
        <w:t>industry sector. Furthermore, she develops strategies in order to evaluate and improve policies in health care management as an interface between patient and physician.</w:t>
      </w:r>
      <w:bookmarkEnd w:id="0"/>
    </w:p>
    <w:sectPr w:rsidR="00E402E2" w:rsidRPr="00E40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3-01-21T12:43:00Z" w:initials="SS">
    <w:p w:rsidR="00E402E2" w:rsidRDefault="00E402E2">
      <w:pPr>
        <w:pStyle w:val="CommentText"/>
      </w:pPr>
      <w:r>
        <w:rPr>
          <w:rStyle w:val="CommentReference"/>
        </w:rPr>
        <w:annotationRef/>
      </w:r>
      <w:r>
        <w:t>Add the table description.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2E2"/>
    <w:rsid w:val="00474203"/>
    <w:rsid w:val="00535872"/>
    <w:rsid w:val="00924B33"/>
    <w:rsid w:val="00E4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402E2"/>
    <w:pPr>
      <w:widowControl w:val="0"/>
      <w:autoSpaceDE w:val="0"/>
      <w:autoSpaceDN w:val="0"/>
      <w:spacing w:before="49" w:after="0" w:line="233" w:lineRule="exact"/>
      <w:ind w:left="7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402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02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02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2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2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2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402E2"/>
    <w:pPr>
      <w:widowControl w:val="0"/>
      <w:autoSpaceDE w:val="0"/>
      <w:autoSpaceDN w:val="0"/>
      <w:spacing w:before="49" w:after="0" w:line="233" w:lineRule="exact"/>
      <w:ind w:left="7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402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02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02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2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2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2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2023-01-21T07:02:00Z</dcterms:created>
  <dcterms:modified xsi:type="dcterms:W3CDTF">2023-01-21T07:14:00Z</dcterms:modified>
</cp:coreProperties>
</file>