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C105F">
      <w:pPr>
        <w:rPr>
          <w:rFonts w:ascii="Times New Roman" w:hAnsi="Times New Roman" w:cs="Times New Roman"/>
          <w:b/>
          <w:sz w:val="32"/>
        </w:rPr>
      </w:pPr>
      <w:bookmarkStart w:id="0" w:name="_GoBack"/>
      <w:r w:rsidRPr="00CC105F">
        <w:rPr>
          <w:rFonts w:ascii="Times New Roman" w:hAnsi="Times New Roman" w:cs="Times New Roman"/>
          <w:b/>
          <w:sz w:val="32"/>
        </w:rPr>
        <w:t>Clinical analysis of pediatric glaucoma in central China</w:t>
      </w:r>
    </w:p>
    <w:p w:rsidR="00CC105F" w:rsidRDefault="00CC105F">
      <w:pPr>
        <w:rPr>
          <w:rFonts w:ascii="Times New Roman" w:hAnsi="Times New Roman" w:cs="Times New Roman"/>
          <w:sz w:val="24"/>
        </w:rPr>
      </w:pPr>
      <w:proofErr w:type="spellStart"/>
      <w:r>
        <w:rPr>
          <w:rFonts w:ascii="Times New Roman" w:hAnsi="Times New Roman" w:cs="Times New Roman"/>
          <w:sz w:val="24"/>
        </w:rPr>
        <w:t>Qian</w:t>
      </w:r>
      <w:proofErr w:type="spellEnd"/>
      <w:r>
        <w:rPr>
          <w:rFonts w:ascii="Times New Roman" w:hAnsi="Times New Roman" w:cs="Times New Roman"/>
          <w:sz w:val="24"/>
        </w:rPr>
        <w:t xml:space="preserve"> Liu*, </w:t>
      </w:r>
      <w:proofErr w:type="spellStart"/>
      <w:r>
        <w:rPr>
          <w:rFonts w:ascii="Times New Roman" w:hAnsi="Times New Roman" w:cs="Times New Roman"/>
          <w:sz w:val="24"/>
        </w:rPr>
        <w:t>Changgeng</w:t>
      </w:r>
      <w:proofErr w:type="spellEnd"/>
      <w:r>
        <w:rPr>
          <w:rFonts w:ascii="Times New Roman" w:hAnsi="Times New Roman" w:cs="Times New Roman"/>
          <w:sz w:val="24"/>
        </w:rPr>
        <w:t xml:space="preserve"> Liu, </w:t>
      </w:r>
      <w:proofErr w:type="spellStart"/>
      <w:r>
        <w:rPr>
          <w:rFonts w:ascii="Times New Roman" w:hAnsi="Times New Roman" w:cs="Times New Roman"/>
          <w:sz w:val="24"/>
        </w:rPr>
        <w:t>Haijun</w:t>
      </w:r>
      <w:proofErr w:type="spellEnd"/>
      <w:r>
        <w:rPr>
          <w:rFonts w:ascii="Times New Roman" w:hAnsi="Times New Roman" w:cs="Times New Roman"/>
          <w:sz w:val="24"/>
        </w:rPr>
        <w:t xml:space="preserve"> Li, </w:t>
      </w:r>
      <w:proofErr w:type="spellStart"/>
      <w:r>
        <w:rPr>
          <w:rFonts w:ascii="Times New Roman" w:hAnsi="Times New Roman" w:cs="Times New Roman"/>
          <w:sz w:val="24"/>
        </w:rPr>
        <w:t>Xiaoyuan</w:t>
      </w:r>
      <w:proofErr w:type="spellEnd"/>
      <w:r>
        <w:rPr>
          <w:rFonts w:ascii="Times New Roman" w:hAnsi="Times New Roman" w:cs="Times New Roman"/>
          <w:sz w:val="24"/>
        </w:rPr>
        <w:t xml:space="preserve"> Yang, </w:t>
      </w:r>
      <w:proofErr w:type="spellStart"/>
      <w:r>
        <w:rPr>
          <w:rFonts w:ascii="Times New Roman" w:hAnsi="Times New Roman" w:cs="Times New Roman"/>
          <w:sz w:val="24"/>
        </w:rPr>
        <w:t>Yangzeng</w:t>
      </w:r>
      <w:proofErr w:type="spellEnd"/>
      <w:r>
        <w:rPr>
          <w:rFonts w:ascii="Times New Roman" w:hAnsi="Times New Roman" w:cs="Times New Roman"/>
          <w:sz w:val="24"/>
        </w:rPr>
        <w:t xml:space="preserve"> Dong, </w:t>
      </w:r>
      <w:proofErr w:type="spellStart"/>
      <w:r>
        <w:rPr>
          <w:rFonts w:ascii="Times New Roman" w:hAnsi="Times New Roman" w:cs="Times New Roman"/>
          <w:sz w:val="24"/>
        </w:rPr>
        <w:t>Xiaomei</w:t>
      </w:r>
      <w:proofErr w:type="spellEnd"/>
      <w:r>
        <w:rPr>
          <w:rFonts w:ascii="Times New Roman" w:hAnsi="Times New Roman" w:cs="Times New Roman"/>
          <w:sz w:val="24"/>
        </w:rPr>
        <w:t xml:space="preserve"> </w:t>
      </w:r>
      <w:proofErr w:type="spellStart"/>
      <w:r>
        <w:rPr>
          <w:rFonts w:ascii="Times New Roman" w:hAnsi="Times New Roman" w:cs="Times New Roman"/>
          <w:sz w:val="24"/>
        </w:rPr>
        <w:t>Feng</w:t>
      </w:r>
      <w:proofErr w:type="spellEnd"/>
      <w:r>
        <w:rPr>
          <w:rFonts w:ascii="Times New Roman" w:hAnsi="Times New Roman" w:cs="Times New Roman"/>
          <w:sz w:val="24"/>
        </w:rPr>
        <w:t xml:space="preserve"> and </w:t>
      </w:r>
      <w:proofErr w:type="spellStart"/>
      <w:r>
        <w:rPr>
          <w:rFonts w:ascii="Times New Roman" w:hAnsi="Times New Roman" w:cs="Times New Roman"/>
          <w:sz w:val="24"/>
        </w:rPr>
        <w:t>Wenjun</w:t>
      </w:r>
      <w:proofErr w:type="spellEnd"/>
      <w:r>
        <w:rPr>
          <w:rFonts w:ascii="Times New Roman" w:hAnsi="Times New Roman" w:cs="Times New Roman"/>
          <w:sz w:val="24"/>
        </w:rPr>
        <w:t xml:space="preserve"> Cheng</w:t>
      </w:r>
    </w:p>
    <w:p w:rsidR="00CC105F" w:rsidRPr="00CC105F" w:rsidRDefault="00CC105F">
      <w:pPr>
        <w:rPr>
          <w:rFonts w:ascii="Times New Roman" w:hAnsi="Times New Roman" w:cs="Times New Roman"/>
        </w:rPr>
      </w:pPr>
      <w:r w:rsidRPr="00CC105F">
        <w:rPr>
          <w:rFonts w:ascii="Times New Roman" w:hAnsi="Times New Roman" w:cs="Times New Roman"/>
        </w:rPr>
        <w:t>Zhengzhou University People’s Hospital, China</w:t>
      </w:r>
    </w:p>
    <w:p w:rsidR="00CC105F" w:rsidRPr="00CC105F" w:rsidRDefault="00CC105F" w:rsidP="00CC105F">
      <w:pPr>
        <w:jc w:val="center"/>
        <w:rPr>
          <w:rFonts w:ascii="Times New Roman" w:hAnsi="Times New Roman" w:cs="Times New Roman"/>
          <w:b/>
          <w:sz w:val="24"/>
        </w:rPr>
      </w:pPr>
      <w:r w:rsidRPr="00CC105F">
        <w:rPr>
          <w:rFonts w:ascii="Times New Roman" w:hAnsi="Times New Roman" w:cs="Times New Roman"/>
          <w:b/>
          <w:sz w:val="24"/>
        </w:rPr>
        <w:t>Abstract</w:t>
      </w:r>
    </w:p>
    <w:p w:rsidR="00CC105F" w:rsidRPr="00CC105F" w:rsidRDefault="00CC105F" w:rsidP="00CC105F">
      <w:pPr>
        <w:jc w:val="both"/>
        <w:rPr>
          <w:rFonts w:ascii="Times New Roman" w:hAnsi="Times New Roman" w:cs="Times New Roman"/>
          <w:sz w:val="20"/>
        </w:rPr>
      </w:pPr>
      <w:r w:rsidRPr="00CC105F">
        <w:rPr>
          <w:rFonts w:ascii="Times New Roman" w:hAnsi="Times New Roman" w:cs="Times New Roman"/>
          <w:b/>
          <w:sz w:val="20"/>
        </w:rPr>
        <w:t xml:space="preserve">Purpose: </w:t>
      </w:r>
      <w:r w:rsidRPr="00CC105F">
        <w:rPr>
          <w:rFonts w:ascii="Times New Roman" w:hAnsi="Times New Roman" w:cs="Times New Roman"/>
          <w:sz w:val="20"/>
        </w:rPr>
        <w:t>We aimed to describe the characteri</w:t>
      </w:r>
      <w:r>
        <w:rPr>
          <w:rFonts w:ascii="Times New Roman" w:hAnsi="Times New Roman" w:cs="Times New Roman"/>
          <w:sz w:val="20"/>
        </w:rPr>
        <w:t>stics, epidemiology, management</w:t>
      </w:r>
      <w:r w:rsidRPr="00CC105F">
        <w:rPr>
          <w:rFonts w:ascii="Times New Roman" w:hAnsi="Times New Roman" w:cs="Times New Roman"/>
          <w:sz w:val="20"/>
        </w:rPr>
        <w:t xml:space="preserve"> and outcomes of glaucoma in pediatric patients in central China.</w:t>
      </w:r>
    </w:p>
    <w:p w:rsidR="00CC105F" w:rsidRPr="00CC105F" w:rsidRDefault="00CC105F" w:rsidP="00CC105F">
      <w:pPr>
        <w:jc w:val="both"/>
        <w:rPr>
          <w:rFonts w:ascii="Times New Roman" w:hAnsi="Times New Roman" w:cs="Times New Roman"/>
          <w:sz w:val="20"/>
        </w:rPr>
      </w:pPr>
      <w:r w:rsidRPr="00CC105F">
        <w:rPr>
          <w:rFonts w:ascii="Times New Roman" w:hAnsi="Times New Roman" w:cs="Times New Roman"/>
          <w:b/>
          <w:sz w:val="20"/>
        </w:rPr>
        <w:t>Methods:</w:t>
      </w:r>
      <w:r w:rsidRPr="00CC105F">
        <w:rPr>
          <w:rFonts w:ascii="Times New Roman" w:hAnsi="Times New Roman" w:cs="Times New Roman"/>
          <w:sz w:val="20"/>
        </w:rPr>
        <w:t xml:space="preserve"> This study retrospectively analyzed inpatients with pediatric glaucoma at Henan Provincial People’</w:t>
      </w:r>
      <w:r>
        <w:rPr>
          <w:rFonts w:ascii="Times New Roman" w:hAnsi="Times New Roman" w:cs="Times New Roman"/>
          <w:sz w:val="20"/>
        </w:rPr>
        <w:t>s Hospital, Henan Eye Institute</w:t>
      </w:r>
      <w:r w:rsidRPr="00CC105F">
        <w:rPr>
          <w:rFonts w:ascii="Times New Roman" w:hAnsi="Times New Roman" w:cs="Times New Roman"/>
          <w:sz w:val="20"/>
        </w:rPr>
        <w:t xml:space="preserve"> and Henan Eye Hospital between 2017 and 2020.</w:t>
      </w:r>
    </w:p>
    <w:p w:rsidR="00CC105F" w:rsidRPr="00CC105F" w:rsidRDefault="00CC105F" w:rsidP="00CC105F">
      <w:pPr>
        <w:jc w:val="both"/>
        <w:rPr>
          <w:rFonts w:ascii="Times New Roman" w:hAnsi="Times New Roman" w:cs="Times New Roman"/>
          <w:sz w:val="20"/>
        </w:rPr>
      </w:pPr>
      <w:r w:rsidRPr="00CC105F">
        <w:rPr>
          <w:rFonts w:ascii="Times New Roman" w:hAnsi="Times New Roman" w:cs="Times New Roman"/>
          <w:b/>
          <w:sz w:val="20"/>
        </w:rPr>
        <w:t>Results:</w:t>
      </w:r>
      <w:r w:rsidRPr="00CC105F">
        <w:rPr>
          <w:rFonts w:ascii="Times New Roman" w:hAnsi="Times New Roman" w:cs="Times New Roman"/>
          <w:sz w:val="20"/>
        </w:rPr>
        <w:t xml:space="preserve"> Overall, 239 cases (276 eyes) of pediatric glaucoma in patients, comprising 87 girls (36.40%) and 152 boys (63.60%) were analyzed. The mean age was 6.65</w:t>
      </w:r>
      <w:r>
        <w:rPr>
          <w:rFonts w:ascii="Times New Roman" w:hAnsi="Times New Roman" w:cs="Times New Roman"/>
          <w:sz w:val="20"/>
        </w:rPr>
        <w:t xml:space="preserve"> </w:t>
      </w:r>
      <w:r w:rsidRPr="00CC105F">
        <w:rPr>
          <w:rFonts w:ascii="Times New Roman" w:hAnsi="Times New Roman" w:cs="Times New Roman"/>
          <w:sz w:val="20"/>
        </w:rPr>
        <w:t>±</w:t>
      </w:r>
      <w:r>
        <w:rPr>
          <w:rFonts w:ascii="Times New Roman" w:hAnsi="Times New Roman" w:cs="Times New Roman"/>
          <w:sz w:val="20"/>
        </w:rPr>
        <w:t xml:space="preserve"> 4.46</w:t>
      </w:r>
      <w:r w:rsidRPr="00CC105F">
        <w:rPr>
          <w:rFonts w:ascii="Times New Roman" w:hAnsi="Times New Roman" w:cs="Times New Roman"/>
          <w:sz w:val="20"/>
        </w:rPr>
        <w:t xml:space="preserve"> and 2.93% of the patients had a family history of glaucoma. </w:t>
      </w:r>
      <w:r w:rsidRPr="00CC105F">
        <w:rPr>
          <w:rFonts w:ascii="Times New Roman" w:hAnsi="Times New Roman" w:cs="Times New Roman"/>
          <w:sz w:val="20"/>
        </w:rPr>
        <w:t xml:space="preserve">Primary Congenital Glaucoma </w:t>
      </w:r>
      <w:r w:rsidRPr="00CC105F">
        <w:rPr>
          <w:rFonts w:ascii="Times New Roman" w:hAnsi="Times New Roman" w:cs="Times New Roman"/>
          <w:sz w:val="20"/>
        </w:rPr>
        <w:t xml:space="preserve">(PCG) was the most common type of glaucoma, followed by traumatic glaucoma in 8.33% of the patients, which was considered secondary glaucoma. The most common signs and symptoms were elevated </w:t>
      </w:r>
      <w:r w:rsidRPr="00CC105F">
        <w:rPr>
          <w:rFonts w:ascii="Times New Roman" w:hAnsi="Times New Roman" w:cs="Times New Roman"/>
          <w:sz w:val="20"/>
        </w:rPr>
        <w:t>Intra</w:t>
      </w:r>
      <w:r>
        <w:rPr>
          <w:rFonts w:ascii="Times New Roman" w:hAnsi="Times New Roman" w:cs="Times New Roman"/>
          <w:sz w:val="20"/>
        </w:rPr>
        <w:t xml:space="preserve"> </w:t>
      </w:r>
      <w:r w:rsidRPr="00CC105F">
        <w:rPr>
          <w:rFonts w:ascii="Times New Roman" w:hAnsi="Times New Roman" w:cs="Times New Roman"/>
          <w:sz w:val="20"/>
        </w:rPr>
        <w:t xml:space="preserve">Ocular Pressure </w:t>
      </w:r>
      <w:r w:rsidRPr="00CC105F">
        <w:rPr>
          <w:rFonts w:ascii="Times New Roman" w:hAnsi="Times New Roman" w:cs="Times New Roman"/>
          <w:sz w:val="20"/>
        </w:rPr>
        <w:t xml:space="preserve">(IOP) and eye pain. </w:t>
      </w:r>
      <w:proofErr w:type="spellStart"/>
      <w:r w:rsidRPr="00CC105F">
        <w:rPr>
          <w:rFonts w:ascii="Times New Roman" w:hAnsi="Times New Roman" w:cs="Times New Roman"/>
          <w:sz w:val="20"/>
        </w:rPr>
        <w:t>Trabeculotomy</w:t>
      </w:r>
      <w:proofErr w:type="spellEnd"/>
      <w:r w:rsidRPr="00CC105F">
        <w:rPr>
          <w:rFonts w:ascii="Times New Roman" w:hAnsi="Times New Roman" w:cs="Times New Roman"/>
          <w:sz w:val="20"/>
        </w:rPr>
        <w:t xml:space="preserve"> (</w:t>
      </w:r>
      <w:proofErr w:type="spellStart"/>
      <w:r w:rsidRPr="00CC105F">
        <w:rPr>
          <w:rFonts w:ascii="Times New Roman" w:hAnsi="Times New Roman" w:cs="Times New Roman"/>
          <w:sz w:val="20"/>
        </w:rPr>
        <w:t>Trab</w:t>
      </w:r>
      <w:proofErr w:type="spellEnd"/>
      <w:r w:rsidRPr="00CC105F">
        <w:rPr>
          <w:rFonts w:ascii="Times New Roman" w:hAnsi="Times New Roman" w:cs="Times New Roman"/>
          <w:sz w:val="20"/>
        </w:rPr>
        <w:t xml:space="preserve">) and </w:t>
      </w:r>
      <w:proofErr w:type="spellStart"/>
      <w:r w:rsidRPr="00CC105F">
        <w:rPr>
          <w:rFonts w:ascii="Times New Roman" w:hAnsi="Times New Roman" w:cs="Times New Roman"/>
          <w:sz w:val="20"/>
        </w:rPr>
        <w:t>Microcatheter</w:t>
      </w:r>
      <w:proofErr w:type="spellEnd"/>
      <w:r w:rsidRPr="00CC105F">
        <w:rPr>
          <w:rFonts w:ascii="Times New Roman" w:hAnsi="Times New Roman" w:cs="Times New Roman"/>
          <w:sz w:val="20"/>
        </w:rPr>
        <w:t>-Assisted</w:t>
      </w:r>
      <w:r w:rsidRPr="00CC105F">
        <w:rPr>
          <w:rFonts w:ascii="Times New Roman" w:hAnsi="Times New Roman" w:cs="Times New Roman"/>
          <w:sz w:val="20"/>
        </w:rPr>
        <w:t xml:space="preserve"> 360° </w:t>
      </w:r>
      <w:proofErr w:type="spellStart"/>
      <w:r w:rsidRPr="00CC105F">
        <w:rPr>
          <w:rFonts w:ascii="Times New Roman" w:hAnsi="Times New Roman" w:cs="Times New Roman"/>
          <w:sz w:val="20"/>
        </w:rPr>
        <w:t>Trabeculotomy</w:t>
      </w:r>
      <w:proofErr w:type="spellEnd"/>
      <w:r w:rsidRPr="00CC105F">
        <w:rPr>
          <w:rFonts w:ascii="Times New Roman" w:hAnsi="Times New Roman" w:cs="Times New Roman"/>
          <w:sz w:val="20"/>
        </w:rPr>
        <w:t xml:space="preserve"> </w:t>
      </w:r>
      <w:r w:rsidRPr="00CC105F">
        <w:rPr>
          <w:rFonts w:ascii="Times New Roman" w:hAnsi="Times New Roman" w:cs="Times New Roman"/>
          <w:sz w:val="20"/>
        </w:rPr>
        <w:t xml:space="preserve">(MAT) combined with </w:t>
      </w:r>
      <w:proofErr w:type="spellStart"/>
      <w:r w:rsidRPr="00CC105F">
        <w:rPr>
          <w:rFonts w:ascii="Times New Roman" w:hAnsi="Times New Roman" w:cs="Times New Roman"/>
          <w:sz w:val="20"/>
        </w:rPr>
        <w:t>Trab</w:t>
      </w:r>
      <w:proofErr w:type="spellEnd"/>
      <w:r w:rsidRPr="00CC105F">
        <w:rPr>
          <w:rFonts w:ascii="Times New Roman" w:hAnsi="Times New Roman" w:cs="Times New Roman"/>
          <w:sz w:val="20"/>
        </w:rPr>
        <w:t xml:space="preserve"> were the most commonly performed surgeries. The IOP of patients with PCG, </w:t>
      </w:r>
      <w:r w:rsidRPr="00CC105F">
        <w:rPr>
          <w:rFonts w:ascii="Times New Roman" w:hAnsi="Times New Roman" w:cs="Times New Roman"/>
          <w:sz w:val="20"/>
        </w:rPr>
        <w:t xml:space="preserve">Juvenile Open-Angle Glaucoma </w:t>
      </w:r>
      <w:r>
        <w:rPr>
          <w:rFonts w:ascii="Times New Roman" w:hAnsi="Times New Roman" w:cs="Times New Roman"/>
          <w:sz w:val="20"/>
        </w:rPr>
        <w:t>(JOAG)</w:t>
      </w:r>
      <w:r w:rsidRPr="00CC105F">
        <w:rPr>
          <w:rFonts w:ascii="Times New Roman" w:hAnsi="Times New Roman" w:cs="Times New Roman"/>
          <w:sz w:val="20"/>
        </w:rPr>
        <w:t xml:space="preserve"> and secondary glaucoma were 15.27 ± 7.48 mmHg, 17.16</w:t>
      </w:r>
      <w:r>
        <w:rPr>
          <w:rFonts w:ascii="Times New Roman" w:hAnsi="Times New Roman" w:cs="Times New Roman"/>
          <w:sz w:val="20"/>
        </w:rPr>
        <w:t xml:space="preserve"> </w:t>
      </w:r>
      <w:r w:rsidRPr="00CC105F">
        <w:rPr>
          <w:rFonts w:ascii="Times New Roman" w:hAnsi="Times New Roman" w:cs="Times New Roman"/>
          <w:sz w:val="20"/>
        </w:rPr>
        <w:t>±</w:t>
      </w:r>
      <w:r>
        <w:rPr>
          <w:rFonts w:ascii="Times New Roman" w:hAnsi="Times New Roman" w:cs="Times New Roman"/>
          <w:sz w:val="20"/>
        </w:rPr>
        <w:t xml:space="preserve"> </w:t>
      </w:r>
      <w:r w:rsidRPr="00CC105F">
        <w:rPr>
          <w:rFonts w:ascii="Times New Roman" w:hAnsi="Times New Roman" w:cs="Times New Roman"/>
          <w:sz w:val="20"/>
        </w:rPr>
        <w:t>10.05 and 18.65</w:t>
      </w:r>
      <w:r>
        <w:rPr>
          <w:rFonts w:ascii="Times New Roman" w:hAnsi="Times New Roman" w:cs="Times New Roman"/>
          <w:sz w:val="20"/>
        </w:rPr>
        <w:t xml:space="preserve"> </w:t>
      </w:r>
      <w:r w:rsidRPr="00CC105F">
        <w:rPr>
          <w:rFonts w:ascii="Times New Roman" w:hAnsi="Times New Roman" w:cs="Times New Roman"/>
          <w:sz w:val="20"/>
        </w:rPr>
        <w:t>±</w:t>
      </w:r>
      <w:r>
        <w:rPr>
          <w:rFonts w:ascii="Times New Roman" w:hAnsi="Times New Roman" w:cs="Times New Roman"/>
          <w:sz w:val="20"/>
        </w:rPr>
        <w:t xml:space="preserve"> 8.55</w:t>
      </w:r>
      <w:r w:rsidRPr="00CC105F">
        <w:rPr>
          <w:rFonts w:ascii="Times New Roman" w:hAnsi="Times New Roman" w:cs="Times New Roman"/>
          <w:sz w:val="20"/>
        </w:rPr>
        <w:t xml:space="preserve"> respectively, at the final follow up. The rate of re-operations in pati</w:t>
      </w:r>
      <w:r>
        <w:rPr>
          <w:rFonts w:ascii="Times New Roman" w:hAnsi="Times New Roman" w:cs="Times New Roman"/>
          <w:sz w:val="20"/>
        </w:rPr>
        <w:t>ents with PCG, JOAG</w:t>
      </w:r>
      <w:r w:rsidRPr="00CC105F">
        <w:rPr>
          <w:rFonts w:ascii="Times New Roman" w:hAnsi="Times New Roman" w:cs="Times New Roman"/>
          <w:sz w:val="20"/>
        </w:rPr>
        <w:t xml:space="preserve"> and secondary glaucoma were 9.15%, 6.78% and 4.69% respectively. The mean visual acuity of the eyes with PCG, JOAG and secondary glaucoma was 0.79</w:t>
      </w:r>
      <w:r>
        <w:rPr>
          <w:rFonts w:ascii="Times New Roman" w:hAnsi="Times New Roman" w:cs="Times New Roman"/>
          <w:sz w:val="20"/>
        </w:rPr>
        <w:t xml:space="preserve"> </w:t>
      </w:r>
      <w:r w:rsidRPr="00CC105F">
        <w:rPr>
          <w:rFonts w:ascii="Times New Roman" w:hAnsi="Times New Roman" w:cs="Times New Roman"/>
          <w:sz w:val="20"/>
        </w:rPr>
        <w:t>±</w:t>
      </w:r>
      <w:r>
        <w:rPr>
          <w:rFonts w:ascii="Times New Roman" w:hAnsi="Times New Roman" w:cs="Times New Roman"/>
          <w:sz w:val="20"/>
        </w:rPr>
        <w:t xml:space="preserve"> </w:t>
      </w:r>
      <w:r w:rsidRPr="00CC105F">
        <w:rPr>
          <w:rFonts w:ascii="Times New Roman" w:hAnsi="Times New Roman" w:cs="Times New Roman"/>
          <w:sz w:val="20"/>
        </w:rPr>
        <w:t>0.68, 0.51</w:t>
      </w:r>
      <w:r>
        <w:rPr>
          <w:rFonts w:ascii="Times New Roman" w:hAnsi="Times New Roman" w:cs="Times New Roman"/>
          <w:sz w:val="20"/>
        </w:rPr>
        <w:t xml:space="preserve"> </w:t>
      </w:r>
      <w:r w:rsidRPr="00CC105F">
        <w:rPr>
          <w:rFonts w:ascii="Times New Roman" w:hAnsi="Times New Roman" w:cs="Times New Roman"/>
          <w:sz w:val="20"/>
        </w:rPr>
        <w:t>±</w:t>
      </w:r>
      <w:r>
        <w:rPr>
          <w:rFonts w:ascii="Times New Roman" w:hAnsi="Times New Roman" w:cs="Times New Roman"/>
          <w:sz w:val="20"/>
        </w:rPr>
        <w:t xml:space="preserve"> </w:t>
      </w:r>
      <w:r w:rsidR="00030A13">
        <w:rPr>
          <w:rFonts w:ascii="Times New Roman" w:hAnsi="Times New Roman" w:cs="Times New Roman"/>
          <w:sz w:val="20"/>
        </w:rPr>
        <w:t>0.48</w:t>
      </w:r>
      <w:r w:rsidRPr="00CC105F">
        <w:rPr>
          <w:rFonts w:ascii="Times New Roman" w:hAnsi="Times New Roman" w:cs="Times New Roman"/>
          <w:sz w:val="20"/>
        </w:rPr>
        <w:t xml:space="preserve"> and 0.53</w:t>
      </w:r>
      <w:r>
        <w:rPr>
          <w:rFonts w:ascii="Times New Roman" w:hAnsi="Times New Roman" w:cs="Times New Roman"/>
          <w:sz w:val="20"/>
        </w:rPr>
        <w:t xml:space="preserve"> </w:t>
      </w:r>
      <w:r w:rsidRPr="00CC105F">
        <w:rPr>
          <w:rFonts w:ascii="Times New Roman" w:hAnsi="Times New Roman" w:cs="Times New Roman"/>
          <w:sz w:val="20"/>
        </w:rPr>
        <w:t>±</w:t>
      </w:r>
      <w:r>
        <w:rPr>
          <w:rFonts w:ascii="Times New Roman" w:hAnsi="Times New Roman" w:cs="Times New Roman"/>
          <w:sz w:val="20"/>
        </w:rPr>
        <w:t xml:space="preserve"> 0.50</w:t>
      </w:r>
      <w:r w:rsidRPr="00CC105F">
        <w:rPr>
          <w:rFonts w:ascii="Times New Roman" w:hAnsi="Times New Roman" w:cs="Times New Roman"/>
          <w:sz w:val="20"/>
        </w:rPr>
        <w:t xml:space="preserve"> respectively. There were 135</w:t>
      </w:r>
      <w:r>
        <w:rPr>
          <w:rFonts w:ascii="Times New Roman" w:hAnsi="Times New Roman" w:cs="Times New Roman"/>
          <w:sz w:val="20"/>
        </w:rPr>
        <w:t xml:space="preserve"> </w:t>
      </w:r>
      <w:r w:rsidRPr="00CC105F">
        <w:rPr>
          <w:rFonts w:ascii="Times New Roman" w:hAnsi="Times New Roman" w:cs="Times New Roman"/>
          <w:sz w:val="20"/>
        </w:rPr>
        <w:t>cases (150</w:t>
      </w:r>
      <w:r>
        <w:rPr>
          <w:rFonts w:ascii="Times New Roman" w:hAnsi="Times New Roman" w:cs="Times New Roman"/>
          <w:sz w:val="20"/>
        </w:rPr>
        <w:t xml:space="preserve"> </w:t>
      </w:r>
      <w:r w:rsidRPr="00CC105F">
        <w:rPr>
          <w:rFonts w:ascii="Times New Roman" w:hAnsi="Times New Roman" w:cs="Times New Roman"/>
          <w:sz w:val="20"/>
        </w:rPr>
        <w:t>eyes) before the epidemic of novel coronavirus and 93 cases (105</w:t>
      </w:r>
      <w:r>
        <w:rPr>
          <w:rFonts w:ascii="Times New Roman" w:hAnsi="Times New Roman" w:cs="Times New Roman"/>
          <w:sz w:val="20"/>
        </w:rPr>
        <w:t xml:space="preserve"> </w:t>
      </w:r>
      <w:r w:rsidRPr="00CC105F">
        <w:rPr>
          <w:rFonts w:ascii="Times New Roman" w:hAnsi="Times New Roman" w:cs="Times New Roman"/>
          <w:sz w:val="20"/>
        </w:rPr>
        <w:t xml:space="preserve">eyes) after the epidemic of COVID-19. </w:t>
      </w:r>
      <w:r w:rsidRPr="00CC105F">
        <w:rPr>
          <w:rFonts w:ascii="Times New Roman" w:hAnsi="Times New Roman" w:cs="Times New Roman"/>
          <w:sz w:val="20"/>
        </w:rPr>
        <w:t xml:space="preserve">Primary Congenital Glaucoma </w:t>
      </w:r>
      <w:r w:rsidRPr="00CC105F">
        <w:rPr>
          <w:rFonts w:ascii="Times New Roman" w:hAnsi="Times New Roman" w:cs="Times New Roman"/>
          <w:sz w:val="20"/>
        </w:rPr>
        <w:t>(PCG) was the most common type before and after the epidemic of novel coronavirus, a</w:t>
      </w:r>
      <w:r>
        <w:rPr>
          <w:rFonts w:ascii="Times New Roman" w:hAnsi="Times New Roman" w:cs="Times New Roman"/>
          <w:sz w:val="20"/>
        </w:rPr>
        <w:t>ccounting for 67.41% and 67.74%</w:t>
      </w:r>
      <w:r w:rsidRPr="00CC105F">
        <w:rPr>
          <w:rFonts w:ascii="Times New Roman" w:hAnsi="Times New Roman" w:cs="Times New Roman"/>
          <w:sz w:val="20"/>
        </w:rPr>
        <w:t xml:space="preserve"> respectively, while developmental glaucoma was the most significant difference before and after novel coronaviru</w:t>
      </w:r>
      <w:r>
        <w:rPr>
          <w:rFonts w:ascii="Times New Roman" w:hAnsi="Times New Roman" w:cs="Times New Roman"/>
          <w:sz w:val="20"/>
        </w:rPr>
        <w:t>s's epidemic, 14.07% and 26.88%</w:t>
      </w:r>
      <w:r w:rsidRPr="00CC105F">
        <w:rPr>
          <w:rFonts w:ascii="Times New Roman" w:hAnsi="Times New Roman" w:cs="Times New Roman"/>
          <w:sz w:val="20"/>
        </w:rPr>
        <w:t xml:space="preserve"> respectively. The most common signs of novel coronavirus before and after the epidemic were elevated IOP, which were 33.33% and 38.91% respectively. The other 11 cases were treated before and after the epidemic of novel coronavirus, 7 cases were</w:t>
      </w:r>
      <w:r>
        <w:rPr>
          <w:rFonts w:ascii="Times New Roman" w:hAnsi="Times New Roman" w:cs="Times New Roman"/>
          <w:sz w:val="20"/>
        </w:rPr>
        <w:t xml:space="preserve"> treated with binocular therapy</w:t>
      </w:r>
      <w:r w:rsidRPr="00CC105F">
        <w:rPr>
          <w:rFonts w:ascii="Times New Roman" w:hAnsi="Times New Roman" w:cs="Times New Roman"/>
          <w:sz w:val="20"/>
        </w:rPr>
        <w:t xml:space="preserve"> and 4 cases with the same eye.</w:t>
      </w:r>
    </w:p>
    <w:p w:rsidR="00CC105F" w:rsidRDefault="00CC105F" w:rsidP="00CC105F">
      <w:pPr>
        <w:jc w:val="both"/>
        <w:rPr>
          <w:rFonts w:ascii="Times New Roman" w:hAnsi="Times New Roman" w:cs="Times New Roman"/>
          <w:sz w:val="20"/>
        </w:rPr>
      </w:pPr>
      <w:r w:rsidRPr="00CC105F">
        <w:rPr>
          <w:rFonts w:ascii="Times New Roman" w:hAnsi="Times New Roman" w:cs="Times New Roman"/>
          <w:b/>
          <w:sz w:val="20"/>
        </w:rPr>
        <w:t>Conclusion:</w:t>
      </w:r>
      <w:r>
        <w:rPr>
          <w:rFonts w:ascii="Times New Roman" w:hAnsi="Times New Roman" w:cs="Times New Roman"/>
          <w:sz w:val="20"/>
        </w:rPr>
        <w:t xml:space="preserve"> PCG, JOAG</w:t>
      </w:r>
      <w:r w:rsidRPr="00CC105F">
        <w:rPr>
          <w:rFonts w:ascii="Times New Roman" w:hAnsi="Times New Roman" w:cs="Times New Roman"/>
          <w:sz w:val="20"/>
        </w:rPr>
        <w:t xml:space="preserve"> and traumatic glaucoma were the most prevalent subtypes in patients with pediatric glaucoma in central China. </w:t>
      </w:r>
      <w:proofErr w:type="spellStart"/>
      <w:r w:rsidRPr="00CC105F">
        <w:rPr>
          <w:rFonts w:ascii="Times New Roman" w:hAnsi="Times New Roman" w:cs="Times New Roman"/>
          <w:sz w:val="20"/>
        </w:rPr>
        <w:t>Trab</w:t>
      </w:r>
      <w:proofErr w:type="spellEnd"/>
      <w:r w:rsidRPr="00CC105F">
        <w:rPr>
          <w:rFonts w:ascii="Times New Roman" w:hAnsi="Times New Roman" w:cs="Times New Roman"/>
          <w:sz w:val="20"/>
        </w:rPr>
        <w:t xml:space="preserve"> and MAT combined with </w:t>
      </w:r>
      <w:proofErr w:type="spellStart"/>
      <w:r w:rsidRPr="00CC105F">
        <w:rPr>
          <w:rFonts w:ascii="Times New Roman" w:hAnsi="Times New Roman" w:cs="Times New Roman"/>
          <w:sz w:val="20"/>
        </w:rPr>
        <w:t>Trab</w:t>
      </w:r>
      <w:proofErr w:type="spellEnd"/>
      <w:r w:rsidRPr="00CC105F">
        <w:rPr>
          <w:rFonts w:ascii="Times New Roman" w:hAnsi="Times New Roman" w:cs="Times New Roman"/>
          <w:sz w:val="20"/>
        </w:rPr>
        <w:t xml:space="preserve"> were the most common interventions used in this study. Pediatric amblyopia might require full attention during the entire treatment, especially after glaucoma surgery. Effective preventive measures and more public education on glaucoma prevention and the importance of early diagnosis and treatment </w:t>
      </w:r>
      <w:r w:rsidRPr="00CC105F">
        <w:rPr>
          <w:rFonts w:ascii="Times New Roman" w:hAnsi="Times New Roman" w:cs="Times New Roman"/>
          <w:sz w:val="20"/>
        </w:rPr>
        <w:t>are</w:t>
      </w:r>
      <w:r w:rsidRPr="00CC105F">
        <w:rPr>
          <w:rFonts w:ascii="Times New Roman" w:hAnsi="Times New Roman" w:cs="Times New Roman"/>
          <w:sz w:val="20"/>
        </w:rPr>
        <w:t xml:space="preserve"> necessary.</w:t>
      </w:r>
    </w:p>
    <w:p w:rsidR="00CC105F" w:rsidRDefault="00CC105F" w:rsidP="00CC105F">
      <w:pPr>
        <w:jc w:val="both"/>
        <w:rPr>
          <w:rFonts w:ascii="Times New Roman" w:hAnsi="Times New Roman" w:cs="Times New Roman"/>
          <w:sz w:val="20"/>
        </w:rPr>
      </w:pPr>
      <w:r w:rsidRPr="00CC105F">
        <w:rPr>
          <w:rFonts w:ascii="Times New Roman" w:hAnsi="Times New Roman" w:cs="Times New Roman"/>
          <w:b/>
          <w:sz w:val="20"/>
        </w:rPr>
        <w:t>Keywords:</w:t>
      </w:r>
      <w:r w:rsidRPr="00CC105F">
        <w:rPr>
          <w:rFonts w:ascii="Times New Roman" w:hAnsi="Times New Roman" w:cs="Times New Roman"/>
          <w:sz w:val="20"/>
        </w:rPr>
        <w:t xml:space="preserve"> Pediatric glaucoma, </w:t>
      </w:r>
      <w:proofErr w:type="spellStart"/>
      <w:r w:rsidRPr="00CC105F">
        <w:rPr>
          <w:rFonts w:ascii="Times New Roman" w:hAnsi="Times New Roman" w:cs="Times New Roman"/>
          <w:sz w:val="20"/>
        </w:rPr>
        <w:t>Trabeculotomy</w:t>
      </w:r>
      <w:proofErr w:type="spellEnd"/>
      <w:r w:rsidRPr="00CC105F">
        <w:rPr>
          <w:rFonts w:ascii="Times New Roman" w:hAnsi="Times New Roman" w:cs="Times New Roman"/>
          <w:sz w:val="20"/>
        </w:rPr>
        <w:t xml:space="preserve">, Juvenile open-angle glaucoma, Primary </w:t>
      </w:r>
      <w:r>
        <w:rPr>
          <w:rFonts w:ascii="Times New Roman" w:hAnsi="Times New Roman" w:cs="Times New Roman"/>
          <w:sz w:val="20"/>
        </w:rPr>
        <w:t xml:space="preserve">congenital glaucoma and </w:t>
      </w:r>
      <w:proofErr w:type="gramStart"/>
      <w:r w:rsidRPr="00CC105F">
        <w:rPr>
          <w:rFonts w:ascii="Times New Roman" w:hAnsi="Times New Roman" w:cs="Times New Roman"/>
          <w:sz w:val="20"/>
        </w:rPr>
        <w:t>Intraocular</w:t>
      </w:r>
      <w:proofErr w:type="gramEnd"/>
      <w:r w:rsidRPr="00CC105F">
        <w:rPr>
          <w:rFonts w:ascii="Times New Roman" w:hAnsi="Times New Roman" w:cs="Times New Roman"/>
          <w:sz w:val="20"/>
        </w:rPr>
        <w:t xml:space="preserve"> pressure</w:t>
      </w:r>
      <w:r>
        <w:rPr>
          <w:rFonts w:ascii="Times New Roman" w:hAnsi="Times New Roman" w:cs="Times New Roman"/>
          <w:sz w:val="20"/>
        </w:rPr>
        <w:t>.</w:t>
      </w:r>
    </w:p>
    <w:p w:rsidR="00CC105F" w:rsidRPr="00030A13" w:rsidRDefault="00CC105F" w:rsidP="00030A13">
      <w:pPr>
        <w:rPr>
          <w:rFonts w:ascii="Times New Roman" w:hAnsi="Times New Roman" w:cs="Times New Roman"/>
          <w:b/>
          <w:sz w:val="24"/>
        </w:rPr>
      </w:pPr>
      <w:r w:rsidRPr="00030A13">
        <w:rPr>
          <w:rFonts w:ascii="Times New Roman" w:hAnsi="Times New Roman" w:cs="Times New Roman"/>
          <w:b/>
          <w:sz w:val="24"/>
        </w:rPr>
        <w:t>Biography</w:t>
      </w:r>
    </w:p>
    <w:p w:rsidR="00030A13" w:rsidRDefault="00030A13" w:rsidP="00CC105F">
      <w:pPr>
        <w:jc w:val="both"/>
        <w:rPr>
          <w:rFonts w:ascii="Times New Roman" w:hAnsi="Times New Roman" w:cs="Times New Roman"/>
          <w:sz w:val="20"/>
        </w:rPr>
      </w:pPr>
      <w:proofErr w:type="spellStart"/>
      <w:r w:rsidRPr="00030A13">
        <w:rPr>
          <w:rFonts w:ascii="Times New Roman" w:hAnsi="Times New Roman" w:cs="Times New Roman"/>
          <w:sz w:val="20"/>
        </w:rPr>
        <w:t>Qian</w:t>
      </w:r>
      <w:proofErr w:type="spellEnd"/>
      <w:r w:rsidRPr="00030A13">
        <w:rPr>
          <w:rFonts w:ascii="Times New Roman" w:hAnsi="Times New Roman" w:cs="Times New Roman"/>
          <w:sz w:val="20"/>
        </w:rPr>
        <w:t xml:space="preserve"> Liu </w:t>
      </w:r>
      <w:r>
        <w:rPr>
          <w:rFonts w:ascii="Times New Roman" w:hAnsi="Times New Roman" w:cs="Times New Roman"/>
          <w:sz w:val="20"/>
        </w:rPr>
        <w:t xml:space="preserve">is affiliated to </w:t>
      </w:r>
      <w:r w:rsidRPr="00030A13">
        <w:rPr>
          <w:rFonts w:ascii="Times New Roman" w:hAnsi="Times New Roman" w:cs="Times New Roman"/>
          <w:sz w:val="20"/>
        </w:rPr>
        <w:t xml:space="preserve">Henan Eye Institute, Henan Eye Hospital, Henan Provincial People's Hospital, Zhengzhou University People's Hospital, </w:t>
      </w:r>
      <w:proofErr w:type="gramStart"/>
      <w:r w:rsidRPr="00030A13">
        <w:rPr>
          <w:rFonts w:ascii="Times New Roman" w:hAnsi="Times New Roman" w:cs="Times New Roman"/>
          <w:sz w:val="20"/>
        </w:rPr>
        <w:t>Zhengzhou</w:t>
      </w:r>
      <w:proofErr w:type="gramEnd"/>
      <w:r w:rsidRPr="00030A13">
        <w:rPr>
          <w:rFonts w:ascii="Times New Roman" w:hAnsi="Times New Roman" w:cs="Times New Roman"/>
          <w:sz w:val="20"/>
        </w:rPr>
        <w:t>, China.</w:t>
      </w:r>
      <w:bookmarkEnd w:id="0"/>
    </w:p>
    <w:sectPr w:rsidR="00030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05F"/>
    <w:rsid w:val="00030A13"/>
    <w:rsid w:val="00474203"/>
    <w:rsid w:val="00535872"/>
    <w:rsid w:val="00924B33"/>
    <w:rsid w:val="00CC1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2022-12-30T09:30:00Z</dcterms:created>
  <dcterms:modified xsi:type="dcterms:W3CDTF">2022-12-30T09:45:00Z</dcterms:modified>
</cp:coreProperties>
</file>