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7289F">
      <w:pPr>
        <w:rPr>
          <w:rFonts w:ascii="Times New Roman" w:hAnsi="Times New Roman" w:cs="Times New Roman"/>
          <w:b/>
          <w:sz w:val="32"/>
        </w:rPr>
      </w:pPr>
      <w:bookmarkStart w:id="0" w:name="_GoBack"/>
      <w:r w:rsidRPr="0007289F">
        <w:rPr>
          <w:rFonts w:ascii="Times New Roman" w:hAnsi="Times New Roman" w:cs="Times New Roman"/>
          <w:b/>
          <w:sz w:val="32"/>
        </w:rPr>
        <w:t>Protein interaction networks define the genetic architecture of preterm birth</w:t>
      </w:r>
    </w:p>
    <w:p w:rsidR="0007289F" w:rsidRDefault="0007289F">
      <w:pPr>
        <w:rPr>
          <w:rFonts w:ascii="Times New Roman" w:hAnsi="Times New Roman" w:cs="Times New Roman"/>
          <w:sz w:val="24"/>
        </w:rPr>
      </w:pPr>
      <w:r w:rsidRPr="0007289F">
        <w:rPr>
          <w:rFonts w:ascii="Times New Roman" w:hAnsi="Times New Roman" w:cs="Times New Roman"/>
          <w:sz w:val="24"/>
        </w:rPr>
        <w:t xml:space="preserve">James F. </w:t>
      </w:r>
      <w:proofErr w:type="spellStart"/>
      <w:r w:rsidRPr="0007289F">
        <w:rPr>
          <w:rFonts w:ascii="Times New Roman" w:hAnsi="Times New Roman" w:cs="Times New Roman"/>
          <w:sz w:val="24"/>
        </w:rPr>
        <w:t>Padbury</w:t>
      </w:r>
      <w:proofErr w:type="spellEnd"/>
    </w:p>
    <w:p w:rsidR="0007289F" w:rsidRPr="0007289F" w:rsidRDefault="0007289F">
      <w:pPr>
        <w:rPr>
          <w:rFonts w:ascii="Times New Roman" w:hAnsi="Times New Roman" w:cs="Times New Roman"/>
        </w:rPr>
      </w:pPr>
      <w:r w:rsidRPr="0007289F">
        <w:rPr>
          <w:rFonts w:ascii="Times New Roman" w:hAnsi="Times New Roman" w:cs="Times New Roman"/>
        </w:rPr>
        <w:t>University of California San Francisco, USA</w:t>
      </w:r>
    </w:p>
    <w:p w:rsidR="0007289F" w:rsidRPr="0007289F" w:rsidRDefault="0007289F" w:rsidP="0007289F">
      <w:pPr>
        <w:jc w:val="center"/>
        <w:rPr>
          <w:rFonts w:ascii="Times New Roman" w:hAnsi="Times New Roman" w:cs="Times New Roman"/>
          <w:b/>
          <w:sz w:val="24"/>
        </w:rPr>
      </w:pPr>
      <w:r w:rsidRPr="0007289F">
        <w:rPr>
          <w:rFonts w:ascii="Times New Roman" w:hAnsi="Times New Roman" w:cs="Times New Roman"/>
          <w:b/>
          <w:sz w:val="24"/>
        </w:rPr>
        <w:t>Abstract</w:t>
      </w:r>
    </w:p>
    <w:p w:rsidR="0007289F" w:rsidRPr="0007289F" w:rsidRDefault="0007289F" w:rsidP="0007289F">
      <w:pPr>
        <w:jc w:val="both"/>
        <w:rPr>
          <w:rFonts w:ascii="Times New Roman" w:hAnsi="Times New Roman" w:cs="Times New Roman"/>
          <w:sz w:val="20"/>
        </w:rPr>
      </w:pPr>
      <w:r w:rsidRPr="0007289F">
        <w:rPr>
          <w:rFonts w:ascii="Times New Roman" w:hAnsi="Times New Roman" w:cs="Times New Roman"/>
          <w:sz w:val="20"/>
        </w:rPr>
        <w:t xml:space="preserve">The likely genetic architecture of complex diseases is that subgroups of patients share variants in genes in specific networks sufficient to express a shared phenotype. We combined high throughput sequencing with advanced bioinformatics approaches to identify such subgroups of patients with variants shared networks. We performed targeted sequencing of patients with 2 or 3 generations of preterm birth on genes, gene sets and haplotype blocks that were highly associated with preterm birth. We analyzed the data using a multi-sample, </w:t>
      </w:r>
      <w:r w:rsidRPr="0007289F">
        <w:rPr>
          <w:rFonts w:ascii="Times New Roman" w:hAnsi="Times New Roman" w:cs="Times New Roman"/>
          <w:sz w:val="20"/>
        </w:rPr>
        <w:t>Protein-Protein Interaction</w:t>
      </w:r>
      <w:r w:rsidRPr="0007289F">
        <w:rPr>
          <w:rFonts w:ascii="Times New Roman" w:hAnsi="Times New Roman" w:cs="Times New Roman"/>
          <w:sz w:val="20"/>
        </w:rPr>
        <w:t xml:space="preserve"> (PPI) tool to identify significant clusters of patients associated with preterm birth. We identified shared protein interaction networks among preterm cases in two statistically significant clusters, p&lt;0.001. We also found two small control-dominated clusters. We replicated these data on an independent, large birth cohort. Separation testing showed significant similarity scores between the clusters from the two independent cohorts of patients. Canonical pathway analysis of the unique genes defin</w:t>
      </w:r>
      <w:r>
        <w:rPr>
          <w:rFonts w:ascii="Times New Roman" w:hAnsi="Times New Roman" w:cs="Times New Roman"/>
          <w:sz w:val="20"/>
        </w:rPr>
        <w:t>e</w:t>
      </w:r>
      <w:r w:rsidRPr="0007289F">
        <w:rPr>
          <w:rFonts w:ascii="Times New Roman" w:hAnsi="Times New Roman" w:cs="Times New Roman"/>
          <w:sz w:val="20"/>
        </w:rPr>
        <w:t xml:space="preserve"> these clusters demonstrated enrichment in inflammatory signaling pathways, the glucocorticoid receptor, the insulin receptor, EGF and B-cell signaling. These results support a genetic architecture defined by subgroups of patients that share variants in genes in specific networks and pathways which are sufficient to give rise to the disease phenotype.</w:t>
      </w:r>
    </w:p>
    <w:p w:rsidR="0007289F" w:rsidRPr="0007289F" w:rsidRDefault="0007289F" w:rsidP="0007289F">
      <w:pPr>
        <w:rPr>
          <w:rFonts w:ascii="Times New Roman" w:hAnsi="Times New Roman" w:cs="Times New Roman"/>
          <w:b/>
          <w:sz w:val="24"/>
        </w:rPr>
      </w:pPr>
      <w:r w:rsidRPr="0007289F">
        <w:rPr>
          <w:rFonts w:ascii="Times New Roman" w:hAnsi="Times New Roman" w:cs="Times New Roman"/>
          <w:b/>
          <w:sz w:val="24"/>
        </w:rPr>
        <w:t>Biography</w:t>
      </w:r>
    </w:p>
    <w:p w:rsidR="0007289F" w:rsidRPr="0007289F" w:rsidRDefault="0007289F" w:rsidP="0007289F">
      <w:pPr>
        <w:jc w:val="both"/>
        <w:rPr>
          <w:rFonts w:ascii="Times New Roman" w:hAnsi="Times New Roman" w:cs="Times New Roman"/>
          <w:sz w:val="20"/>
        </w:rPr>
      </w:pPr>
      <w:r w:rsidRPr="0007289F">
        <w:rPr>
          <w:rFonts w:ascii="Times New Roman" w:hAnsi="Times New Roman" w:cs="Times New Roman"/>
          <w:sz w:val="20"/>
        </w:rPr>
        <w:t xml:space="preserve">James </w:t>
      </w:r>
      <w:proofErr w:type="spellStart"/>
      <w:r w:rsidRPr="0007289F">
        <w:rPr>
          <w:rFonts w:ascii="Times New Roman" w:hAnsi="Times New Roman" w:cs="Times New Roman"/>
          <w:sz w:val="20"/>
        </w:rPr>
        <w:t>Padbury</w:t>
      </w:r>
      <w:proofErr w:type="spellEnd"/>
      <w:r w:rsidRPr="0007289F">
        <w:rPr>
          <w:rFonts w:ascii="Times New Roman" w:hAnsi="Times New Roman" w:cs="Times New Roman"/>
          <w:sz w:val="20"/>
        </w:rPr>
        <w:t xml:space="preserve"> is the Oh–</w:t>
      </w:r>
      <w:proofErr w:type="spellStart"/>
      <w:r w:rsidRPr="0007289F">
        <w:rPr>
          <w:rFonts w:ascii="Times New Roman" w:hAnsi="Times New Roman" w:cs="Times New Roman"/>
          <w:sz w:val="20"/>
        </w:rPr>
        <w:t>Zopfi</w:t>
      </w:r>
      <w:proofErr w:type="spellEnd"/>
      <w:r w:rsidRPr="0007289F">
        <w:rPr>
          <w:rFonts w:ascii="Times New Roman" w:hAnsi="Times New Roman" w:cs="Times New Roman"/>
          <w:sz w:val="20"/>
        </w:rPr>
        <w:t xml:space="preserve"> Professor of Pediatrics and Perinatal Research at Brown University, Pediatrician-In-Chief at Women and Infants' Hospital and Vice-Chair for Research, Department of Pediatrics at the Hasbro Children's Hospital.</w:t>
      </w:r>
      <w:r w:rsidR="005F71F6">
        <w:rPr>
          <w:rFonts w:ascii="Times New Roman" w:hAnsi="Times New Roman" w:cs="Times New Roman"/>
          <w:sz w:val="20"/>
        </w:rPr>
        <w:t xml:space="preserve"> </w:t>
      </w:r>
      <w:r>
        <w:rPr>
          <w:rFonts w:ascii="Times New Roman" w:hAnsi="Times New Roman" w:cs="Times New Roman"/>
          <w:sz w:val="20"/>
        </w:rPr>
        <w:t>He</w:t>
      </w:r>
      <w:r w:rsidRPr="0007289F">
        <w:rPr>
          <w:rFonts w:ascii="Times New Roman" w:hAnsi="Times New Roman" w:cs="Times New Roman"/>
          <w:sz w:val="20"/>
        </w:rPr>
        <w:t xml:space="preserve"> received his BS in biology from the UC Irvine and his MD degree from UCLA. His postgraduate training in pediatrics and neonatology was taken at UCSF and Boston Children's Hospital. He was recruited to Brown University from UCLA in 1995.</w:t>
      </w:r>
      <w:r w:rsidR="005F71F6">
        <w:rPr>
          <w:rFonts w:ascii="Times New Roman" w:hAnsi="Times New Roman" w:cs="Times New Roman"/>
          <w:sz w:val="20"/>
        </w:rPr>
        <w:t xml:space="preserve"> </w:t>
      </w:r>
      <w:r w:rsidRPr="0007289F">
        <w:rPr>
          <w:rFonts w:ascii="Times New Roman" w:hAnsi="Times New Roman" w:cs="Times New Roman"/>
          <w:sz w:val="20"/>
        </w:rPr>
        <w:t>He has long-standing research interests in cardiovascular and placental developmental biology and perinatal genetics. Among the awards supporting his research are grants from the March of Dimes to study the genetics of prematurity and from NIH to study the genetics of preeclampsia. He is past Chair of the NIH Pregnancy and Neonatology Study Section. He is currently Adjunct Professor of Pediatrics at the University of California San Francisco.</w:t>
      </w:r>
      <w:bookmarkEnd w:id="0"/>
    </w:p>
    <w:sectPr w:rsidR="0007289F" w:rsidRPr="000728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89F"/>
    <w:rsid w:val="0007289F"/>
    <w:rsid w:val="00474203"/>
    <w:rsid w:val="00535872"/>
    <w:rsid w:val="005F71F6"/>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2022-12-05T05:18:00Z</dcterms:created>
  <dcterms:modified xsi:type="dcterms:W3CDTF">2022-12-05T05:30:00Z</dcterms:modified>
</cp:coreProperties>
</file>