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31299">
      <w:pPr>
        <w:rPr>
          <w:rFonts w:ascii="Times New Roman" w:hAnsi="Times New Roman" w:cs="Times New Roman"/>
          <w:b/>
          <w:sz w:val="32"/>
        </w:rPr>
      </w:pPr>
      <w:bookmarkStart w:id="0" w:name="_GoBack"/>
      <w:r w:rsidRPr="00E31299">
        <w:rPr>
          <w:rFonts w:ascii="Times New Roman" w:hAnsi="Times New Roman" w:cs="Times New Roman"/>
          <w:b/>
          <w:sz w:val="32"/>
        </w:rPr>
        <w:t xml:space="preserve">Effects of coronavirus pandemic on expanded program on immunization in </w:t>
      </w:r>
      <w:proofErr w:type="spellStart"/>
      <w:r w:rsidRPr="00E31299">
        <w:rPr>
          <w:rFonts w:ascii="Times New Roman" w:hAnsi="Times New Roman" w:cs="Times New Roman"/>
          <w:b/>
          <w:sz w:val="32"/>
        </w:rPr>
        <w:t>Weija</w:t>
      </w:r>
      <w:proofErr w:type="spellEnd"/>
      <w:r w:rsidRPr="00E31299">
        <w:rPr>
          <w:rFonts w:ascii="Times New Roman" w:hAnsi="Times New Roman" w:cs="Times New Roman"/>
          <w:b/>
          <w:sz w:val="32"/>
        </w:rPr>
        <w:t xml:space="preserve"> -</w:t>
      </w:r>
      <w:proofErr w:type="spellStart"/>
      <w:r w:rsidRPr="00E31299">
        <w:rPr>
          <w:rFonts w:ascii="Times New Roman" w:hAnsi="Times New Roman" w:cs="Times New Roman"/>
          <w:b/>
          <w:sz w:val="32"/>
        </w:rPr>
        <w:t>Gbawe</w:t>
      </w:r>
      <w:proofErr w:type="spellEnd"/>
      <w:r w:rsidRPr="00E31299">
        <w:rPr>
          <w:rFonts w:ascii="Times New Roman" w:hAnsi="Times New Roman" w:cs="Times New Roman"/>
          <w:b/>
          <w:sz w:val="32"/>
        </w:rPr>
        <w:t xml:space="preserve"> municipality (Accra-Ghana)</w:t>
      </w:r>
    </w:p>
    <w:p w:rsidR="00E31299" w:rsidRDefault="00E31299">
      <w:pPr>
        <w:rPr>
          <w:rFonts w:ascii="Times New Roman" w:hAnsi="Times New Roman" w:cs="Times New Roman"/>
          <w:sz w:val="24"/>
        </w:rPr>
      </w:pPr>
      <w:r w:rsidRPr="00E31299">
        <w:rPr>
          <w:rFonts w:ascii="Times New Roman" w:hAnsi="Times New Roman" w:cs="Times New Roman"/>
          <w:sz w:val="24"/>
        </w:rPr>
        <w:t xml:space="preserve">Jonathan </w:t>
      </w:r>
      <w:proofErr w:type="spellStart"/>
      <w:r w:rsidRPr="00E31299">
        <w:rPr>
          <w:rFonts w:ascii="Times New Roman" w:hAnsi="Times New Roman" w:cs="Times New Roman"/>
          <w:sz w:val="24"/>
        </w:rPr>
        <w:t>Kissi</w:t>
      </w:r>
      <w:proofErr w:type="spellEnd"/>
    </w:p>
    <w:p w:rsidR="00E31299" w:rsidRPr="00E31299" w:rsidRDefault="00E31299">
      <w:pPr>
        <w:rPr>
          <w:rFonts w:ascii="Times New Roman" w:hAnsi="Times New Roman" w:cs="Times New Roman"/>
        </w:rPr>
      </w:pPr>
      <w:r w:rsidRPr="00E31299">
        <w:rPr>
          <w:rFonts w:ascii="Times New Roman" w:hAnsi="Times New Roman" w:cs="Times New Roman"/>
        </w:rPr>
        <w:t>University of Cape Coast, Ghana</w:t>
      </w:r>
    </w:p>
    <w:p w:rsidR="00E31299" w:rsidRPr="00E31299" w:rsidRDefault="00E31299" w:rsidP="00E31299">
      <w:pPr>
        <w:jc w:val="center"/>
        <w:rPr>
          <w:rFonts w:ascii="Times New Roman" w:hAnsi="Times New Roman" w:cs="Times New Roman"/>
          <w:b/>
          <w:sz w:val="24"/>
        </w:rPr>
      </w:pPr>
      <w:r w:rsidRPr="00E31299">
        <w:rPr>
          <w:rFonts w:ascii="Times New Roman" w:hAnsi="Times New Roman" w:cs="Times New Roman"/>
          <w:b/>
          <w:sz w:val="24"/>
        </w:rPr>
        <w:t>Abstract</w:t>
      </w:r>
    </w:p>
    <w:p w:rsidR="00E31299" w:rsidRPr="00E31299" w:rsidRDefault="00E31299" w:rsidP="00E31299">
      <w:pPr>
        <w:jc w:val="both"/>
        <w:rPr>
          <w:rFonts w:ascii="Times New Roman" w:hAnsi="Times New Roman" w:cs="Times New Roman"/>
          <w:sz w:val="20"/>
        </w:rPr>
      </w:pPr>
      <w:r w:rsidRPr="00E31299">
        <w:rPr>
          <w:rFonts w:ascii="Times New Roman" w:hAnsi="Times New Roman" w:cs="Times New Roman"/>
          <w:sz w:val="20"/>
        </w:rPr>
        <w:t xml:space="preserve">The introduction of Expanded Program on Immunization (EPI) and the availability of vaccines have contributed to significant reductions in morbidity and mortality rate, particularly among infants and children under five years. The coronavirus pandemic has however interrupted vaccination systems, limiting access and coverage for children. This presentation highlights the effect of the coronavirus disease outbreak on the EPI activities. The presentation employed a cross-sectional study design. Purposive and convenience sampling methods were used to sample 510 health workers directly engaged in immunization activities from 15 healthcare facilities. </w:t>
      </w:r>
      <w:r w:rsidRPr="00E31299">
        <w:rPr>
          <w:rFonts w:ascii="Times New Roman" w:hAnsi="Times New Roman" w:cs="Times New Roman"/>
          <w:sz w:val="20"/>
        </w:rPr>
        <w:t>Coverage’s</w:t>
      </w:r>
      <w:r w:rsidRPr="00E31299">
        <w:rPr>
          <w:rFonts w:ascii="Times New Roman" w:hAnsi="Times New Roman" w:cs="Times New Roman"/>
          <w:sz w:val="20"/>
        </w:rPr>
        <w:t xml:space="preserve"> for five selected antigens (Diphtheria, Tetanus, Pertussis, Poliomyelitis, and Tuberculosis) and Measles in the year 2020 experienced an overall decline ranging from 38.8% for measles rubella vaccine to 53.1% for </w:t>
      </w:r>
      <w:proofErr w:type="spellStart"/>
      <w:r w:rsidRPr="00E31299">
        <w:rPr>
          <w:rFonts w:ascii="Times New Roman" w:hAnsi="Times New Roman" w:cs="Times New Roman"/>
          <w:sz w:val="20"/>
        </w:rPr>
        <w:t>Penta</w:t>
      </w:r>
      <w:proofErr w:type="spellEnd"/>
      <w:r w:rsidRPr="00E31299">
        <w:rPr>
          <w:rFonts w:ascii="Times New Roman" w:hAnsi="Times New Roman" w:cs="Times New Roman"/>
          <w:sz w:val="20"/>
        </w:rPr>
        <w:t xml:space="preserve"> vaccine. The year 2019 recorded </w:t>
      </w:r>
      <w:r w:rsidRPr="00E31299">
        <w:rPr>
          <w:rFonts w:ascii="Times New Roman" w:hAnsi="Times New Roman" w:cs="Times New Roman"/>
          <w:sz w:val="20"/>
        </w:rPr>
        <w:t>coverage’s</w:t>
      </w:r>
      <w:r w:rsidRPr="00E31299">
        <w:rPr>
          <w:rFonts w:ascii="Times New Roman" w:hAnsi="Times New Roman" w:cs="Times New Roman"/>
          <w:sz w:val="20"/>
        </w:rPr>
        <w:t xml:space="preserve"> ranging from 69.1% for BCG vaccine to 78.4% for </w:t>
      </w:r>
      <w:proofErr w:type="spellStart"/>
      <w:r w:rsidRPr="00E31299">
        <w:rPr>
          <w:rFonts w:ascii="Times New Roman" w:hAnsi="Times New Roman" w:cs="Times New Roman"/>
          <w:sz w:val="20"/>
        </w:rPr>
        <w:t>penta</w:t>
      </w:r>
      <w:proofErr w:type="spellEnd"/>
      <w:r w:rsidRPr="00E31299">
        <w:rPr>
          <w:rFonts w:ascii="Times New Roman" w:hAnsi="Times New Roman" w:cs="Times New Roman"/>
          <w:sz w:val="20"/>
        </w:rPr>
        <w:t xml:space="preserve"> vaccine, relatively higher than in 2020. EPI services patronization rose up after COVID-19 peaks periods for BCG vaccine 67.7% to 89.2% for </w:t>
      </w:r>
      <w:proofErr w:type="spellStart"/>
      <w:r w:rsidRPr="00E31299">
        <w:rPr>
          <w:rFonts w:ascii="Times New Roman" w:hAnsi="Times New Roman" w:cs="Times New Roman"/>
          <w:sz w:val="20"/>
        </w:rPr>
        <w:t>penta</w:t>
      </w:r>
      <w:proofErr w:type="spellEnd"/>
      <w:r w:rsidRPr="00E31299">
        <w:rPr>
          <w:rFonts w:ascii="Times New Roman" w:hAnsi="Times New Roman" w:cs="Times New Roman"/>
          <w:sz w:val="20"/>
        </w:rPr>
        <w:t xml:space="preserve"> vaccine. The COVID-19 pandemic disrupted the delivery of EPI services and other healthcare activities significantly in Ghana. Healthcare stakeholders can envisage </w:t>
      </w:r>
      <w:proofErr w:type="spellStart"/>
      <w:r w:rsidRPr="00E31299">
        <w:rPr>
          <w:rFonts w:ascii="Times New Roman" w:hAnsi="Times New Roman" w:cs="Times New Roman"/>
          <w:sz w:val="20"/>
        </w:rPr>
        <w:t>tele</w:t>
      </w:r>
      <w:proofErr w:type="spellEnd"/>
      <w:r>
        <w:rPr>
          <w:rFonts w:ascii="Times New Roman" w:hAnsi="Times New Roman" w:cs="Times New Roman"/>
          <w:sz w:val="20"/>
        </w:rPr>
        <w:t>-</w:t>
      </w:r>
      <w:r w:rsidRPr="00E31299">
        <w:rPr>
          <w:rFonts w:ascii="Times New Roman" w:hAnsi="Times New Roman" w:cs="Times New Roman"/>
          <w:sz w:val="20"/>
        </w:rPr>
        <w:t>health services in care delivery against pandemic outbreaks. This presentation contributes to empirical knowledge by recommending vital predictive factors to healthcare stakeholders during pandemic outbreak.</w:t>
      </w:r>
    </w:p>
    <w:p w:rsidR="00E31299" w:rsidRPr="00E31299" w:rsidRDefault="00E31299" w:rsidP="00E31299">
      <w:pPr>
        <w:rPr>
          <w:rFonts w:ascii="Times New Roman" w:hAnsi="Times New Roman" w:cs="Times New Roman"/>
          <w:b/>
          <w:sz w:val="24"/>
        </w:rPr>
      </w:pPr>
      <w:r w:rsidRPr="00E31299">
        <w:rPr>
          <w:rFonts w:ascii="Times New Roman" w:hAnsi="Times New Roman" w:cs="Times New Roman"/>
          <w:b/>
          <w:sz w:val="24"/>
        </w:rPr>
        <w:t>Biography</w:t>
      </w:r>
    </w:p>
    <w:p w:rsidR="00E31299" w:rsidRPr="00E31299" w:rsidRDefault="00E31299" w:rsidP="00E31299">
      <w:pPr>
        <w:jc w:val="both"/>
        <w:rPr>
          <w:rFonts w:ascii="Times New Roman" w:hAnsi="Times New Roman" w:cs="Times New Roman"/>
          <w:sz w:val="20"/>
        </w:rPr>
      </w:pPr>
      <w:r w:rsidRPr="00E31299">
        <w:rPr>
          <w:rFonts w:ascii="Times New Roman" w:hAnsi="Times New Roman" w:cs="Times New Roman"/>
          <w:sz w:val="20"/>
        </w:rPr>
        <w:t xml:space="preserve">Jonathan </w:t>
      </w:r>
      <w:proofErr w:type="spellStart"/>
      <w:r w:rsidRPr="00E31299">
        <w:rPr>
          <w:rFonts w:ascii="Times New Roman" w:hAnsi="Times New Roman" w:cs="Times New Roman"/>
          <w:sz w:val="20"/>
        </w:rPr>
        <w:t>Kissi</w:t>
      </w:r>
      <w:proofErr w:type="spellEnd"/>
      <w:r w:rsidRPr="00E31299">
        <w:rPr>
          <w:rFonts w:ascii="Times New Roman" w:hAnsi="Times New Roman" w:cs="Times New Roman"/>
          <w:sz w:val="20"/>
        </w:rPr>
        <w:t xml:space="preserve"> is a Lecturer at the Department of Health Information Management, School of Allied Health Scien</w:t>
      </w:r>
      <w:r>
        <w:rPr>
          <w:rFonts w:ascii="Times New Roman" w:hAnsi="Times New Roman" w:cs="Times New Roman"/>
          <w:sz w:val="20"/>
        </w:rPr>
        <w:t xml:space="preserve">ces, </w:t>
      </w:r>
      <w:proofErr w:type="gramStart"/>
      <w:r>
        <w:rPr>
          <w:rFonts w:ascii="Times New Roman" w:hAnsi="Times New Roman" w:cs="Times New Roman"/>
          <w:sz w:val="20"/>
        </w:rPr>
        <w:t>University</w:t>
      </w:r>
      <w:proofErr w:type="gramEnd"/>
      <w:r>
        <w:rPr>
          <w:rFonts w:ascii="Times New Roman" w:hAnsi="Times New Roman" w:cs="Times New Roman"/>
          <w:sz w:val="20"/>
        </w:rPr>
        <w:t xml:space="preserve"> of Cape Coast–</w:t>
      </w:r>
      <w:r w:rsidRPr="00E31299">
        <w:rPr>
          <w:rFonts w:ascii="Times New Roman" w:hAnsi="Times New Roman" w:cs="Times New Roman"/>
          <w:sz w:val="20"/>
        </w:rPr>
        <w:t xml:space="preserve">Ghana. </w:t>
      </w:r>
      <w:r>
        <w:rPr>
          <w:rFonts w:ascii="Times New Roman" w:hAnsi="Times New Roman" w:cs="Times New Roman"/>
          <w:sz w:val="20"/>
        </w:rPr>
        <w:t>His</w:t>
      </w:r>
      <w:r w:rsidRPr="00E31299">
        <w:rPr>
          <w:rFonts w:ascii="Times New Roman" w:hAnsi="Times New Roman" w:cs="Times New Roman"/>
          <w:sz w:val="20"/>
        </w:rPr>
        <w:t xml:space="preserve"> research area is a scientific field that comprises electronic health records, </w:t>
      </w:r>
      <w:proofErr w:type="spellStart"/>
      <w:r w:rsidRPr="00E31299">
        <w:rPr>
          <w:rFonts w:ascii="Times New Roman" w:hAnsi="Times New Roman" w:cs="Times New Roman"/>
          <w:sz w:val="20"/>
        </w:rPr>
        <w:t>tele</w:t>
      </w:r>
      <w:proofErr w:type="spellEnd"/>
      <w:r>
        <w:rPr>
          <w:rFonts w:ascii="Times New Roman" w:hAnsi="Times New Roman" w:cs="Times New Roman"/>
          <w:sz w:val="20"/>
        </w:rPr>
        <w:t>-</w:t>
      </w:r>
      <w:r w:rsidRPr="00E31299">
        <w:rPr>
          <w:rFonts w:ascii="Times New Roman" w:hAnsi="Times New Roman" w:cs="Times New Roman"/>
          <w:sz w:val="20"/>
        </w:rPr>
        <w:t>health services, Information and Communication Technology in healthcare services and Management Information Systems. The research area enlightens individuals on the interpretations of scientific research that emphasizes healthcare policy formulation, development and management. The area also provides immense contributions to complex structures of healthcare and broadens management strategies in healthcare systems for protecting under-served communities around the world. He has published several papers in reputed journals.</w:t>
      </w:r>
      <w:bookmarkEnd w:id="0"/>
    </w:p>
    <w:sectPr w:rsidR="00E31299" w:rsidRPr="00E312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299"/>
    <w:rsid w:val="00474203"/>
    <w:rsid w:val="00535872"/>
    <w:rsid w:val="00924B33"/>
    <w:rsid w:val="00E31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364</Words>
  <Characters>2077</Characters>
  <Application>Microsoft Office Word</Application>
  <DocSecurity>0</DocSecurity>
  <Lines>17</Lines>
  <Paragraphs>4</Paragraphs>
  <ScaleCrop>false</ScaleCrop>
  <Company/>
  <LinksUpToDate>false</LinksUpToDate>
  <CharactersWithSpaces>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2022-10-27T04:55:00Z</dcterms:created>
  <dcterms:modified xsi:type="dcterms:W3CDTF">2022-10-27T04:58:00Z</dcterms:modified>
</cp:coreProperties>
</file>