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63653C">
      <w:pPr>
        <w:rPr>
          <w:rFonts w:ascii="Times New Roman" w:hAnsi="Times New Roman" w:cs="Times New Roman"/>
          <w:b/>
          <w:sz w:val="32"/>
        </w:rPr>
      </w:pPr>
      <w:bookmarkStart w:id="0" w:name="_GoBack"/>
      <w:r w:rsidRPr="0063653C">
        <w:rPr>
          <w:rFonts w:ascii="Times New Roman" w:hAnsi="Times New Roman" w:cs="Times New Roman"/>
          <w:b/>
          <w:sz w:val="32"/>
        </w:rPr>
        <w:t>Role of rifampicin in reducing poor fetal and neonatal outcome in intrahepatic cholestasis of pregnancy</w:t>
      </w:r>
    </w:p>
    <w:p w:rsidR="0063653C" w:rsidRDefault="0063653C">
      <w:pPr>
        <w:rPr>
          <w:rFonts w:ascii="Times New Roman" w:hAnsi="Times New Roman" w:cs="Times New Roman"/>
          <w:sz w:val="24"/>
        </w:rPr>
      </w:pPr>
      <w:proofErr w:type="spellStart"/>
      <w:r w:rsidRPr="0063653C">
        <w:rPr>
          <w:rFonts w:ascii="Times New Roman" w:hAnsi="Times New Roman" w:cs="Times New Roman"/>
          <w:sz w:val="24"/>
        </w:rPr>
        <w:t>Manoj</w:t>
      </w:r>
      <w:proofErr w:type="spellEnd"/>
      <w:r w:rsidRPr="0063653C">
        <w:rPr>
          <w:rFonts w:ascii="Times New Roman" w:hAnsi="Times New Roman" w:cs="Times New Roman"/>
          <w:sz w:val="24"/>
        </w:rPr>
        <w:t xml:space="preserve"> Kumar</w:t>
      </w:r>
    </w:p>
    <w:p w:rsidR="0063653C" w:rsidRPr="00292C43" w:rsidRDefault="0063653C">
      <w:pPr>
        <w:rPr>
          <w:rFonts w:ascii="Times New Roman" w:hAnsi="Times New Roman" w:cs="Times New Roman"/>
        </w:rPr>
      </w:pPr>
      <w:r w:rsidRPr="00292C43">
        <w:rPr>
          <w:rFonts w:ascii="Times New Roman" w:hAnsi="Times New Roman" w:cs="Times New Roman"/>
        </w:rPr>
        <w:t>All India Institute of Medical Sciences, India</w:t>
      </w:r>
    </w:p>
    <w:p w:rsidR="0063653C" w:rsidRPr="0063653C" w:rsidRDefault="0063653C" w:rsidP="0063653C">
      <w:pPr>
        <w:jc w:val="center"/>
        <w:rPr>
          <w:rFonts w:ascii="Times New Roman" w:hAnsi="Times New Roman" w:cs="Times New Roman"/>
          <w:b/>
          <w:sz w:val="24"/>
        </w:rPr>
      </w:pPr>
      <w:r w:rsidRPr="0063653C">
        <w:rPr>
          <w:rFonts w:ascii="Times New Roman" w:hAnsi="Times New Roman" w:cs="Times New Roman"/>
          <w:b/>
          <w:sz w:val="24"/>
        </w:rPr>
        <w:t>Abstract</w:t>
      </w:r>
    </w:p>
    <w:p w:rsidR="0063653C" w:rsidRPr="0063653C" w:rsidRDefault="0063653C" w:rsidP="0063653C">
      <w:pPr>
        <w:jc w:val="both"/>
        <w:rPr>
          <w:rFonts w:ascii="Times New Roman" w:hAnsi="Times New Roman" w:cs="Times New Roman"/>
          <w:sz w:val="20"/>
        </w:rPr>
      </w:pPr>
      <w:r w:rsidRPr="0063653C">
        <w:rPr>
          <w:rFonts w:ascii="Times New Roman" w:hAnsi="Times New Roman" w:cs="Times New Roman"/>
          <w:b/>
          <w:sz w:val="20"/>
        </w:rPr>
        <w:t>Statement of the problem:</w:t>
      </w:r>
      <w:r w:rsidRPr="0063653C">
        <w:rPr>
          <w:rFonts w:ascii="Times New Roman" w:hAnsi="Times New Roman" w:cs="Times New Roman"/>
          <w:sz w:val="20"/>
        </w:rPr>
        <w:t xml:space="preserve"> Preterm birth which affects 11% of all births worldwide, leads to approximately 20% neonatal mortality. Both iatrogenic and spontaneous preterm births are known complications of </w:t>
      </w:r>
      <w:r>
        <w:rPr>
          <w:rFonts w:ascii="Times New Roman" w:hAnsi="Times New Roman" w:cs="Times New Roman"/>
          <w:sz w:val="20"/>
        </w:rPr>
        <w:t>Intrahepatic Cholestasis o</w:t>
      </w:r>
      <w:r w:rsidRPr="0063653C">
        <w:rPr>
          <w:rFonts w:ascii="Times New Roman" w:hAnsi="Times New Roman" w:cs="Times New Roman"/>
          <w:sz w:val="20"/>
        </w:rPr>
        <w:t xml:space="preserve">f Pregnancy </w:t>
      </w:r>
      <w:r w:rsidRPr="0063653C">
        <w:rPr>
          <w:rFonts w:ascii="Times New Roman" w:hAnsi="Times New Roman" w:cs="Times New Roman"/>
          <w:sz w:val="20"/>
        </w:rPr>
        <w:t xml:space="preserve">(ICP). Elevated maternal serum bile acids are implicated as causing poor fetal outcomes in ICP. Various pharmacological agents are used to lower it, but none is based on high level of evidence. </w:t>
      </w:r>
      <w:proofErr w:type="spellStart"/>
      <w:r w:rsidRPr="0063653C">
        <w:rPr>
          <w:rFonts w:ascii="Times New Roman" w:hAnsi="Times New Roman" w:cs="Times New Roman"/>
          <w:sz w:val="20"/>
        </w:rPr>
        <w:t>Ursodeoxycholic</w:t>
      </w:r>
      <w:proofErr w:type="spellEnd"/>
      <w:r w:rsidRPr="0063653C">
        <w:rPr>
          <w:rFonts w:ascii="Times New Roman" w:hAnsi="Times New Roman" w:cs="Times New Roman"/>
          <w:sz w:val="20"/>
        </w:rPr>
        <w:t xml:space="preserve"> acid (UDCA) is used most widely, but some patients do not respond to it. Rifampicin has recently been identified as an adjunct drug in ICP but fetal and neonatal outcomes need to be documented for the same.</w:t>
      </w:r>
    </w:p>
    <w:p w:rsidR="0063653C" w:rsidRDefault="0063653C" w:rsidP="0063653C">
      <w:pPr>
        <w:jc w:val="both"/>
        <w:rPr>
          <w:rFonts w:ascii="Times New Roman" w:hAnsi="Times New Roman" w:cs="Times New Roman"/>
          <w:sz w:val="20"/>
        </w:rPr>
      </w:pPr>
      <w:r w:rsidRPr="0063653C">
        <w:rPr>
          <w:rFonts w:ascii="Times New Roman" w:hAnsi="Times New Roman" w:cs="Times New Roman"/>
          <w:b/>
          <w:sz w:val="20"/>
        </w:rPr>
        <w:t xml:space="preserve">Methodology: </w:t>
      </w:r>
      <w:r w:rsidRPr="0063653C">
        <w:rPr>
          <w:rFonts w:ascii="Times New Roman" w:hAnsi="Times New Roman" w:cs="Times New Roman"/>
          <w:sz w:val="20"/>
        </w:rPr>
        <w:t>108 pregnant women with ICP who were receiving UDCA with or without rifampicin were enrolled in this prospective observational study at a tertiary hospital from December 2018 to November 2020. Seventy-eight patients who received onl</w:t>
      </w:r>
      <w:r>
        <w:rPr>
          <w:rFonts w:ascii="Times New Roman" w:hAnsi="Times New Roman" w:cs="Times New Roman"/>
          <w:sz w:val="20"/>
        </w:rPr>
        <w:t xml:space="preserve">y UDCA were </w:t>
      </w:r>
      <w:proofErr w:type="spellStart"/>
      <w:r>
        <w:rPr>
          <w:rFonts w:ascii="Times New Roman" w:hAnsi="Times New Roman" w:cs="Times New Roman"/>
          <w:sz w:val="20"/>
        </w:rPr>
        <w:t>labelled</w:t>
      </w:r>
      <w:proofErr w:type="spellEnd"/>
      <w:r>
        <w:rPr>
          <w:rFonts w:ascii="Times New Roman" w:hAnsi="Times New Roman" w:cs="Times New Roman"/>
          <w:sz w:val="20"/>
        </w:rPr>
        <w:t xml:space="preserve"> as group A</w:t>
      </w:r>
      <w:r w:rsidRPr="0063653C">
        <w:rPr>
          <w:rFonts w:ascii="Times New Roman" w:hAnsi="Times New Roman" w:cs="Times New Roman"/>
          <w:sz w:val="20"/>
        </w:rPr>
        <w:t xml:space="preserve"> and 30 patients receiving UDCA with rifampicin were </w:t>
      </w:r>
      <w:proofErr w:type="spellStart"/>
      <w:r w:rsidRPr="0063653C">
        <w:rPr>
          <w:rFonts w:ascii="Times New Roman" w:hAnsi="Times New Roman" w:cs="Times New Roman"/>
          <w:sz w:val="20"/>
        </w:rPr>
        <w:t>labelled</w:t>
      </w:r>
      <w:proofErr w:type="spellEnd"/>
      <w:r w:rsidRPr="0063653C">
        <w:rPr>
          <w:rFonts w:ascii="Times New Roman" w:hAnsi="Times New Roman" w:cs="Times New Roman"/>
          <w:sz w:val="20"/>
        </w:rPr>
        <w:t xml:space="preserve"> as group B</w:t>
      </w:r>
      <w:r>
        <w:rPr>
          <w:rFonts w:ascii="Times New Roman" w:hAnsi="Times New Roman" w:cs="Times New Roman"/>
          <w:sz w:val="20"/>
        </w:rPr>
        <w:t xml:space="preserve"> [Figure 1]</w:t>
      </w:r>
      <w:r w:rsidRPr="0063653C">
        <w:rPr>
          <w:rFonts w:ascii="Times New Roman" w:hAnsi="Times New Roman" w:cs="Times New Roman"/>
          <w:sz w:val="20"/>
        </w:rPr>
        <w:t>.</w:t>
      </w:r>
    </w:p>
    <w:p w:rsidR="00292C43" w:rsidRDefault="00292C43" w:rsidP="00292C43">
      <w:pPr>
        <w:jc w:val="center"/>
        <w:rPr>
          <w:rFonts w:ascii="Times New Roman" w:hAnsi="Times New Roman" w:cs="Times New Roman"/>
          <w:sz w:val="20"/>
        </w:rPr>
      </w:pPr>
      <w:r>
        <w:rPr>
          <w:rFonts w:ascii="Times New Roman" w:hAnsi="Times New Roman" w:cs="Times New Roman"/>
          <w:noProof/>
          <w:sz w:val="20"/>
        </w:rPr>
        <w:drawing>
          <wp:inline distT="0" distB="0" distL="0" distR="0" wp14:anchorId="1842F8CB">
            <wp:extent cx="4397071" cy="2321781"/>
            <wp:effectExtent l="0" t="0" r="3810" b="254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395526" cy="2320965"/>
                    </a:xfrm>
                    <a:prstGeom prst="rect">
                      <a:avLst/>
                    </a:prstGeom>
                    <a:noFill/>
                  </pic:spPr>
                </pic:pic>
              </a:graphicData>
            </a:graphic>
          </wp:inline>
        </w:drawing>
      </w:r>
    </w:p>
    <w:p w:rsidR="00292C43" w:rsidRPr="00292C43" w:rsidRDefault="00292C43" w:rsidP="00292C43">
      <w:pPr>
        <w:jc w:val="center"/>
        <w:rPr>
          <w:rFonts w:ascii="Times New Roman" w:hAnsi="Times New Roman" w:cs="Times New Roman"/>
          <w:i/>
          <w:sz w:val="18"/>
        </w:rPr>
      </w:pPr>
      <w:proofErr w:type="gramStart"/>
      <w:r w:rsidRPr="00292C43">
        <w:rPr>
          <w:rFonts w:ascii="Times New Roman" w:hAnsi="Times New Roman" w:cs="Times New Roman"/>
          <w:b/>
          <w:i/>
          <w:sz w:val="18"/>
        </w:rPr>
        <w:t>Figure 1.</w:t>
      </w:r>
      <w:proofErr w:type="gramEnd"/>
      <w:r w:rsidRPr="00292C43">
        <w:rPr>
          <w:rFonts w:ascii="Times New Roman" w:hAnsi="Times New Roman" w:cs="Times New Roman"/>
          <w:i/>
          <w:sz w:val="18"/>
        </w:rPr>
        <w:t xml:space="preserve"> </w:t>
      </w:r>
      <w:proofErr w:type="gramStart"/>
      <w:r w:rsidR="00BC5201" w:rsidRPr="00BC5201">
        <w:rPr>
          <w:rFonts w:ascii="Times New Roman" w:hAnsi="Times New Roman" w:cs="Times New Roman"/>
          <w:i/>
          <w:sz w:val="18"/>
        </w:rPr>
        <w:t>Flowchart showing study methodology in brief</w:t>
      </w:r>
      <w:r w:rsidR="00BC5201">
        <w:rPr>
          <w:rFonts w:ascii="Times New Roman" w:hAnsi="Times New Roman" w:cs="Times New Roman"/>
          <w:i/>
          <w:sz w:val="18"/>
        </w:rPr>
        <w:t>.</w:t>
      </w:r>
      <w:proofErr w:type="gramEnd"/>
    </w:p>
    <w:p w:rsidR="0063653C" w:rsidRPr="0063653C" w:rsidRDefault="0063653C" w:rsidP="0063653C">
      <w:pPr>
        <w:jc w:val="both"/>
        <w:rPr>
          <w:rFonts w:ascii="Times New Roman" w:hAnsi="Times New Roman" w:cs="Times New Roman"/>
          <w:sz w:val="20"/>
        </w:rPr>
      </w:pPr>
      <w:r w:rsidRPr="0063653C">
        <w:rPr>
          <w:rFonts w:ascii="Times New Roman" w:hAnsi="Times New Roman" w:cs="Times New Roman"/>
          <w:b/>
          <w:sz w:val="20"/>
        </w:rPr>
        <w:t>Results:</w:t>
      </w:r>
      <w:r w:rsidRPr="0063653C">
        <w:rPr>
          <w:rFonts w:ascii="Times New Roman" w:hAnsi="Times New Roman" w:cs="Times New Roman"/>
          <w:sz w:val="20"/>
        </w:rPr>
        <w:t xml:space="preserve"> Group B patients had earlier onset of symptoms and earlier mean {</w:t>
      </w:r>
      <w:r w:rsidRPr="0063653C">
        <w:rPr>
          <w:rFonts w:ascii="Times New Roman" w:hAnsi="Times New Roman" w:cs="Times New Roman"/>
          <w:sz w:val="20"/>
        </w:rPr>
        <w:t xml:space="preserve">Standard Deviation </w:t>
      </w:r>
      <w:r w:rsidRPr="0063653C">
        <w:rPr>
          <w:rFonts w:ascii="Times New Roman" w:hAnsi="Times New Roman" w:cs="Times New Roman"/>
          <w:sz w:val="20"/>
        </w:rPr>
        <w:t>(SD)} gestational age at diagnosis at 28.89 (4.29) weeks compared to 32.47 (2.93) weeks in group A. Therefore, mean (SD) gestational age to start UDCA was early in group B (29.32 (4.24) weeks). Mean (SD) gestational age to start rifampicin was 3</w:t>
      </w:r>
      <w:r>
        <w:rPr>
          <w:rFonts w:ascii="Times New Roman" w:hAnsi="Times New Roman" w:cs="Times New Roman"/>
          <w:sz w:val="20"/>
        </w:rPr>
        <w:t>2.11 (3.4) weeks for group B (n=</w:t>
      </w:r>
      <w:r w:rsidRPr="0063653C">
        <w:rPr>
          <w:rFonts w:ascii="Times New Roman" w:hAnsi="Times New Roman" w:cs="Times New Roman"/>
          <w:sz w:val="20"/>
        </w:rPr>
        <w:t>30). Mean (SD) dosage of UDCA was 911.54 (229.05) mg/day and 880 (260.50) mg</w:t>
      </w:r>
      <w:r>
        <w:rPr>
          <w:rFonts w:ascii="Times New Roman" w:hAnsi="Times New Roman" w:cs="Times New Roman"/>
          <w:sz w:val="20"/>
        </w:rPr>
        <w:t>/day in groups A and B (p value=</w:t>
      </w:r>
      <w:r w:rsidRPr="0063653C">
        <w:rPr>
          <w:rFonts w:ascii="Times New Roman" w:hAnsi="Times New Roman" w:cs="Times New Roman"/>
          <w:sz w:val="20"/>
        </w:rPr>
        <w:t xml:space="preserve">0.563). Mean (SD) dosage of rifampicin used in group B was 700 (363.89) mg/day. Mean (SD) baseline bile acids (pre-treatment) was 36.94 (13) </w:t>
      </w:r>
      <w:proofErr w:type="spellStart"/>
      <w:r w:rsidRPr="0063653C">
        <w:rPr>
          <w:rFonts w:ascii="Times New Roman" w:hAnsi="Times New Roman" w:cs="Times New Roman"/>
          <w:sz w:val="20"/>
        </w:rPr>
        <w:t>micromol</w:t>
      </w:r>
      <w:proofErr w:type="spellEnd"/>
      <w:r w:rsidRPr="0063653C">
        <w:rPr>
          <w:rFonts w:ascii="Times New Roman" w:hAnsi="Times New Roman" w:cs="Times New Roman"/>
          <w:sz w:val="20"/>
        </w:rPr>
        <w:t xml:space="preserve">/L and 42.50 (15.23) </w:t>
      </w:r>
      <w:proofErr w:type="spellStart"/>
      <w:r w:rsidRPr="0063653C">
        <w:rPr>
          <w:rFonts w:ascii="Times New Roman" w:hAnsi="Times New Roman" w:cs="Times New Roman"/>
          <w:sz w:val="20"/>
        </w:rPr>
        <w:t>micromol</w:t>
      </w:r>
      <w:proofErr w:type="spellEnd"/>
      <w:r w:rsidRPr="0063653C">
        <w:rPr>
          <w:rFonts w:ascii="Times New Roman" w:hAnsi="Times New Roman" w:cs="Times New Roman"/>
          <w:sz w:val="20"/>
        </w:rPr>
        <w:t>/L in groups</w:t>
      </w:r>
      <w:r>
        <w:rPr>
          <w:rFonts w:ascii="Times New Roman" w:hAnsi="Times New Roman" w:cs="Times New Roman"/>
          <w:sz w:val="20"/>
        </w:rPr>
        <w:t xml:space="preserve"> A and B, respectively (p value=</w:t>
      </w:r>
      <w:r w:rsidRPr="0063653C">
        <w:rPr>
          <w:rFonts w:ascii="Times New Roman" w:hAnsi="Times New Roman" w:cs="Times New Roman"/>
          <w:sz w:val="20"/>
        </w:rPr>
        <w:t xml:space="preserve">0.274). At two-week follow-up, mean (SD) value of serum bile acids was 22.92 (10.67) </w:t>
      </w:r>
      <w:proofErr w:type="spellStart"/>
      <w:r w:rsidRPr="0063653C">
        <w:rPr>
          <w:rFonts w:ascii="Times New Roman" w:hAnsi="Times New Roman" w:cs="Times New Roman"/>
          <w:sz w:val="20"/>
        </w:rPr>
        <w:t>micromol</w:t>
      </w:r>
      <w:proofErr w:type="spellEnd"/>
      <w:r w:rsidRPr="0063653C">
        <w:rPr>
          <w:rFonts w:ascii="Times New Roman" w:hAnsi="Times New Roman" w:cs="Times New Roman"/>
          <w:sz w:val="20"/>
        </w:rPr>
        <w:t xml:space="preserve">/L and 14.88 (10.27) </w:t>
      </w:r>
      <w:proofErr w:type="spellStart"/>
      <w:r w:rsidRPr="0063653C">
        <w:rPr>
          <w:rFonts w:ascii="Times New Roman" w:hAnsi="Times New Roman" w:cs="Times New Roman"/>
          <w:sz w:val="20"/>
        </w:rPr>
        <w:t>micromol</w:t>
      </w:r>
      <w:proofErr w:type="spellEnd"/>
      <w:r w:rsidRPr="0063653C">
        <w:rPr>
          <w:rFonts w:ascii="Times New Roman" w:hAnsi="Times New Roman" w:cs="Times New Roman"/>
          <w:sz w:val="20"/>
        </w:rPr>
        <w:t>/L in groups</w:t>
      </w:r>
      <w:r>
        <w:rPr>
          <w:rFonts w:ascii="Times New Roman" w:hAnsi="Times New Roman" w:cs="Times New Roman"/>
          <w:sz w:val="20"/>
        </w:rPr>
        <w:t xml:space="preserve"> A and B, respectively (p value=</w:t>
      </w:r>
      <w:r w:rsidRPr="0063653C">
        <w:rPr>
          <w:rFonts w:ascii="Times New Roman" w:hAnsi="Times New Roman" w:cs="Times New Roman"/>
          <w:sz w:val="20"/>
        </w:rPr>
        <w:t xml:space="preserve">0.039). Group B having an earlier onset of ICP also had early gestational age at delivery at 35.70 (2.57) weeks </w:t>
      </w:r>
      <w:r w:rsidRPr="0063653C">
        <w:rPr>
          <w:rFonts w:ascii="Times New Roman" w:hAnsi="Times New Roman" w:cs="Times New Roman"/>
          <w:i/>
          <w:sz w:val="20"/>
        </w:rPr>
        <w:t>versus</w:t>
      </w:r>
      <w:r w:rsidRPr="0063653C">
        <w:rPr>
          <w:rFonts w:ascii="Times New Roman" w:hAnsi="Times New Roman" w:cs="Times New Roman"/>
          <w:sz w:val="20"/>
        </w:rPr>
        <w:t xml:space="preserve"> 37.011 (1.18) weeks in group A. 63% and 50% babies were born full term in groups A &amp; B respectively (p value 0.222). Mean (SD) birth weight of babies was 2,706.85 (206.19) grams for group A and </w:t>
      </w:r>
      <w:r w:rsidRPr="0063653C">
        <w:rPr>
          <w:rFonts w:ascii="Times New Roman" w:hAnsi="Times New Roman" w:cs="Times New Roman"/>
          <w:sz w:val="20"/>
        </w:rPr>
        <w:lastRenderedPageBreak/>
        <w:t>2,522.67 (34</w:t>
      </w:r>
      <w:r>
        <w:rPr>
          <w:rFonts w:ascii="Times New Roman" w:hAnsi="Times New Roman" w:cs="Times New Roman"/>
          <w:sz w:val="20"/>
        </w:rPr>
        <w:t>2.20) grams in group B (p value</w:t>
      </w:r>
      <w:r w:rsidRPr="0063653C">
        <w:rPr>
          <w:rFonts w:ascii="Times New Roman" w:hAnsi="Times New Roman" w:cs="Times New Roman"/>
          <w:sz w:val="20"/>
        </w:rPr>
        <w:t>=0.009). Rate of antepartum stillbirth in groups A and B was 9%</w:t>
      </w:r>
      <w:r>
        <w:rPr>
          <w:rFonts w:ascii="Times New Roman" w:hAnsi="Times New Roman" w:cs="Times New Roman"/>
          <w:sz w:val="20"/>
        </w:rPr>
        <w:t xml:space="preserve"> and 6.7% respectively (p value</w:t>
      </w:r>
      <w:r w:rsidRPr="0063653C">
        <w:rPr>
          <w:rFonts w:ascii="Times New Roman" w:hAnsi="Times New Roman" w:cs="Times New Roman"/>
          <w:sz w:val="20"/>
        </w:rPr>
        <w:t>=0.722). 10.3% and 6.7% babies were born with dark-</w:t>
      </w:r>
      <w:proofErr w:type="spellStart"/>
      <w:r w:rsidRPr="0063653C">
        <w:rPr>
          <w:rFonts w:ascii="Times New Roman" w:hAnsi="Times New Roman" w:cs="Times New Roman"/>
          <w:sz w:val="20"/>
        </w:rPr>
        <w:t>coloured</w:t>
      </w:r>
      <w:proofErr w:type="spellEnd"/>
      <w:r w:rsidRPr="0063653C">
        <w:rPr>
          <w:rFonts w:ascii="Times New Roman" w:hAnsi="Times New Roman" w:cs="Times New Roman"/>
          <w:sz w:val="20"/>
        </w:rPr>
        <w:t xml:space="preserve"> meconium or placental membranes and cord stained with meconium in groups A &amp; B respectively. In groups A and B, 9% and 6.7% of the babies were born with thin/light green meconium-stained liquor, respectively. So, overall adverse neonatal outcomes for both groups were comparable (68.5% in group</w:t>
      </w:r>
      <w:r>
        <w:rPr>
          <w:rFonts w:ascii="Times New Roman" w:hAnsi="Times New Roman" w:cs="Times New Roman"/>
          <w:sz w:val="20"/>
        </w:rPr>
        <w:t xml:space="preserve"> A and 70% in group B) (p value</w:t>
      </w:r>
      <w:r w:rsidRPr="0063653C">
        <w:rPr>
          <w:rFonts w:ascii="Times New Roman" w:hAnsi="Times New Roman" w:cs="Times New Roman"/>
          <w:sz w:val="20"/>
        </w:rPr>
        <w:t xml:space="preserve">=0.881). </w:t>
      </w:r>
    </w:p>
    <w:p w:rsidR="0063653C" w:rsidRDefault="0063653C" w:rsidP="0063653C">
      <w:pPr>
        <w:jc w:val="both"/>
        <w:rPr>
          <w:rFonts w:ascii="Times New Roman" w:hAnsi="Times New Roman" w:cs="Times New Roman"/>
          <w:sz w:val="20"/>
        </w:rPr>
      </w:pPr>
      <w:r w:rsidRPr="0063653C">
        <w:rPr>
          <w:rFonts w:ascii="Times New Roman" w:hAnsi="Times New Roman" w:cs="Times New Roman"/>
          <w:b/>
          <w:sz w:val="20"/>
        </w:rPr>
        <w:t>Conclusion:</w:t>
      </w:r>
      <w:r w:rsidRPr="0063653C">
        <w:rPr>
          <w:rFonts w:ascii="Times New Roman" w:hAnsi="Times New Roman" w:cs="Times New Roman"/>
          <w:sz w:val="20"/>
        </w:rPr>
        <w:t xml:space="preserve"> Rifampicin is a useful adjunct to UDCA lowering serum bile acids in pregnant women with early onset, severe and resistant cases of ICP. Fetal outcomes are not worsened and in fact there is a benefit of delaying birth-timing by adding rifampicin to UDCA thereby improving overall fetal outcomes in such cases of ICP.</w:t>
      </w:r>
    </w:p>
    <w:p w:rsidR="0063653C" w:rsidRPr="0063653C" w:rsidRDefault="0063653C" w:rsidP="0063653C">
      <w:pPr>
        <w:rPr>
          <w:rFonts w:ascii="Times New Roman" w:hAnsi="Times New Roman" w:cs="Times New Roman"/>
          <w:b/>
          <w:sz w:val="24"/>
        </w:rPr>
      </w:pPr>
      <w:r w:rsidRPr="0063653C">
        <w:rPr>
          <w:rFonts w:ascii="Times New Roman" w:hAnsi="Times New Roman" w:cs="Times New Roman"/>
          <w:b/>
          <w:sz w:val="24"/>
        </w:rPr>
        <w:t>Biograp</w:t>
      </w:r>
      <w:r w:rsidRPr="0063653C">
        <w:rPr>
          <w:rFonts w:ascii="Times New Roman" w:hAnsi="Times New Roman" w:cs="Times New Roman"/>
          <w:b/>
          <w:sz w:val="24"/>
        </w:rPr>
        <w:t>hy</w:t>
      </w:r>
    </w:p>
    <w:p w:rsidR="0063653C" w:rsidRPr="0063653C" w:rsidRDefault="0063653C" w:rsidP="0063653C">
      <w:pPr>
        <w:jc w:val="both"/>
        <w:rPr>
          <w:rFonts w:ascii="Times New Roman" w:hAnsi="Times New Roman" w:cs="Times New Roman"/>
          <w:sz w:val="20"/>
        </w:rPr>
      </w:pPr>
      <w:proofErr w:type="spellStart"/>
      <w:r w:rsidRPr="0063653C">
        <w:rPr>
          <w:rFonts w:ascii="Times New Roman" w:hAnsi="Times New Roman" w:cs="Times New Roman"/>
          <w:sz w:val="20"/>
        </w:rPr>
        <w:t>Manoj</w:t>
      </w:r>
      <w:proofErr w:type="spellEnd"/>
      <w:r w:rsidRPr="0063653C">
        <w:rPr>
          <w:rFonts w:ascii="Times New Roman" w:hAnsi="Times New Roman" w:cs="Times New Roman"/>
          <w:sz w:val="20"/>
        </w:rPr>
        <w:t xml:space="preserve"> Kumar studied MBBS from Patna Medical College and Hospital, Patna and did his </w:t>
      </w:r>
      <w:proofErr w:type="spellStart"/>
      <w:r w:rsidRPr="0063653C">
        <w:rPr>
          <w:rFonts w:ascii="Times New Roman" w:hAnsi="Times New Roman" w:cs="Times New Roman"/>
          <w:sz w:val="20"/>
        </w:rPr>
        <w:t>postgraduation</w:t>
      </w:r>
      <w:proofErr w:type="spellEnd"/>
      <w:r w:rsidRPr="0063653C">
        <w:rPr>
          <w:rFonts w:ascii="Times New Roman" w:hAnsi="Times New Roman" w:cs="Times New Roman"/>
          <w:sz w:val="20"/>
        </w:rPr>
        <w:t xml:space="preserve"> for MD (Pediatrics) in DMCH, </w:t>
      </w:r>
      <w:proofErr w:type="spellStart"/>
      <w:r w:rsidRPr="0063653C">
        <w:rPr>
          <w:rFonts w:ascii="Times New Roman" w:hAnsi="Times New Roman" w:cs="Times New Roman"/>
          <w:sz w:val="20"/>
        </w:rPr>
        <w:t>Darbhanga</w:t>
      </w:r>
      <w:proofErr w:type="spellEnd"/>
      <w:r w:rsidRPr="0063653C">
        <w:rPr>
          <w:rFonts w:ascii="Times New Roman" w:hAnsi="Times New Roman" w:cs="Times New Roman"/>
          <w:sz w:val="20"/>
        </w:rPr>
        <w:t xml:space="preserve">. He has more than 8 years of teaching experience in undergraduate &amp; postgraduate medical education and research. At present he is working as Assistant Professor in the Department of Pediatrics, at All India Institute of Medical Sciences, </w:t>
      </w:r>
      <w:proofErr w:type="spellStart"/>
      <w:r w:rsidRPr="0063653C">
        <w:rPr>
          <w:rFonts w:ascii="Times New Roman" w:hAnsi="Times New Roman" w:cs="Times New Roman"/>
          <w:sz w:val="20"/>
        </w:rPr>
        <w:t>Deoghar</w:t>
      </w:r>
      <w:proofErr w:type="spellEnd"/>
      <w:r w:rsidRPr="0063653C">
        <w:rPr>
          <w:rFonts w:ascii="Times New Roman" w:hAnsi="Times New Roman" w:cs="Times New Roman"/>
          <w:sz w:val="20"/>
        </w:rPr>
        <w:t xml:space="preserve">, India. His areas of expertise are Neonatology &amp; Pediatric Nephrology. He has 18 publications in national and international journals to his credit. He is a lifetime member of IAP (Indian Academy of Pediatrics) &amp; National </w:t>
      </w:r>
      <w:proofErr w:type="spellStart"/>
      <w:r w:rsidRPr="0063653C">
        <w:rPr>
          <w:rFonts w:ascii="Times New Roman" w:hAnsi="Times New Roman" w:cs="Times New Roman"/>
          <w:sz w:val="20"/>
        </w:rPr>
        <w:t>Neonataology</w:t>
      </w:r>
      <w:proofErr w:type="spellEnd"/>
      <w:r w:rsidRPr="0063653C">
        <w:rPr>
          <w:rFonts w:ascii="Times New Roman" w:hAnsi="Times New Roman" w:cs="Times New Roman"/>
          <w:sz w:val="20"/>
        </w:rPr>
        <w:t xml:space="preserve"> Forum of India. He is a reviewer in PubMed journal and also chaptered a book on recent advances in medical sciences and research.</w:t>
      </w:r>
      <w:bookmarkEnd w:id="0"/>
    </w:p>
    <w:sectPr w:rsidR="0063653C" w:rsidRPr="0063653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3653C"/>
    <w:rsid w:val="00292C43"/>
    <w:rsid w:val="00474203"/>
    <w:rsid w:val="00535872"/>
    <w:rsid w:val="0063653C"/>
    <w:rsid w:val="00924B33"/>
    <w:rsid w:val="00BC5201"/>
    <w:rsid w:val="00D80D8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292C4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92C43"/>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292C4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92C43"/>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TotalTime>
  <Pages>2</Pages>
  <Words>604</Words>
  <Characters>3443</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3</cp:revision>
  <dcterms:created xsi:type="dcterms:W3CDTF">2022-12-31T06:50:00Z</dcterms:created>
  <dcterms:modified xsi:type="dcterms:W3CDTF">2022-12-31T07:06:00Z</dcterms:modified>
</cp:coreProperties>
</file>