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7D3" w:rsidRPr="00B927D3" w:rsidRDefault="00B927D3" w:rsidP="00B927D3">
      <w:pPr>
        <w:rPr>
          <w:rFonts w:ascii="Times New Roman" w:hAnsi="Times New Roman" w:cs="Times New Roman"/>
          <w:b/>
          <w:sz w:val="32"/>
        </w:rPr>
      </w:pPr>
      <w:r w:rsidRPr="00B927D3">
        <w:rPr>
          <w:rFonts w:ascii="Times New Roman" w:hAnsi="Times New Roman" w:cs="Times New Roman"/>
          <w:b/>
          <w:sz w:val="32"/>
        </w:rPr>
        <w:t xml:space="preserve">Association between biological immunotherapy for psoriasis and time to incident inflammatory arthritis: </w:t>
      </w:r>
      <w:r w:rsidR="00B43F23" w:rsidRPr="00B927D3">
        <w:rPr>
          <w:rFonts w:ascii="Times New Roman" w:hAnsi="Times New Roman" w:cs="Times New Roman"/>
          <w:b/>
          <w:sz w:val="32"/>
        </w:rPr>
        <w:t xml:space="preserve">A </w:t>
      </w:r>
      <w:r w:rsidRPr="00B927D3">
        <w:rPr>
          <w:rFonts w:ascii="Times New Roman" w:hAnsi="Times New Roman" w:cs="Times New Roman"/>
          <w:b/>
          <w:sz w:val="32"/>
        </w:rPr>
        <w:t>retrospective cohort study</w:t>
      </w:r>
    </w:p>
    <w:p w:rsidR="00B927D3" w:rsidRPr="00B927D3" w:rsidRDefault="00B927D3" w:rsidP="00B927D3">
      <w:pPr>
        <w:rPr>
          <w:rFonts w:ascii="Times New Roman" w:hAnsi="Times New Roman" w:cs="Times New Roman"/>
          <w:sz w:val="24"/>
        </w:rPr>
      </w:pPr>
      <w:proofErr w:type="spellStart"/>
      <w:r w:rsidRPr="00B927D3">
        <w:rPr>
          <w:rFonts w:ascii="Times New Roman" w:hAnsi="Times New Roman" w:cs="Times New Roman"/>
          <w:sz w:val="24"/>
        </w:rPr>
        <w:t>Shikha</w:t>
      </w:r>
      <w:proofErr w:type="spellEnd"/>
      <w:r w:rsidRPr="00B927D3">
        <w:rPr>
          <w:rFonts w:ascii="Times New Roman" w:hAnsi="Times New Roman" w:cs="Times New Roman"/>
          <w:sz w:val="24"/>
        </w:rPr>
        <w:t xml:space="preserve"> </w:t>
      </w:r>
      <w:proofErr w:type="spellStart"/>
      <w:r w:rsidRPr="00B927D3">
        <w:rPr>
          <w:rFonts w:ascii="Times New Roman" w:hAnsi="Times New Roman" w:cs="Times New Roman"/>
          <w:sz w:val="24"/>
        </w:rPr>
        <w:t>Singla</w:t>
      </w:r>
      <w:proofErr w:type="spellEnd"/>
    </w:p>
    <w:p w:rsidR="00B927D3" w:rsidRPr="00B43F23" w:rsidRDefault="00B927D3" w:rsidP="00B927D3">
      <w:pPr>
        <w:rPr>
          <w:rFonts w:ascii="Times New Roman" w:hAnsi="Times New Roman" w:cs="Times New Roman"/>
        </w:rPr>
      </w:pPr>
      <w:r w:rsidRPr="00B43F23">
        <w:rPr>
          <w:rFonts w:ascii="Times New Roman" w:hAnsi="Times New Roman" w:cs="Times New Roman"/>
        </w:rPr>
        <w:t>Medical College of Wisconsin, United States</w:t>
      </w:r>
    </w:p>
    <w:p w:rsidR="00B927D3" w:rsidRPr="00B43F23" w:rsidRDefault="00B927D3" w:rsidP="00B43F23">
      <w:pPr>
        <w:jc w:val="center"/>
        <w:rPr>
          <w:rFonts w:ascii="Times New Roman" w:hAnsi="Times New Roman" w:cs="Times New Roman"/>
          <w:b/>
          <w:sz w:val="24"/>
        </w:rPr>
      </w:pPr>
      <w:r w:rsidRPr="00B43F23">
        <w:rPr>
          <w:rFonts w:ascii="Times New Roman" w:hAnsi="Times New Roman" w:cs="Times New Roman"/>
          <w:b/>
          <w:sz w:val="24"/>
        </w:rPr>
        <w:t>Abstract</w:t>
      </w:r>
    </w:p>
    <w:p w:rsidR="00B927D3" w:rsidRPr="00B43F23" w:rsidRDefault="00B927D3" w:rsidP="00B43F23">
      <w:pPr>
        <w:jc w:val="both"/>
        <w:rPr>
          <w:rFonts w:ascii="Times New Roman" w:hAnsi="Times New Roman" w:cs="Times New Roman"/>
          <w:sz w:val="20"/>
        </w:rPr>
      </w:pPr>
      <w:r w:rsidRPr="00B43F23">
        <w:rPr>
          <w:rFonts w:ascii="Times New Roman" w:hAnsi="Times New Roman" w:cs="Times New Roman"/>
          <w:b/>
          <w:sz w:val="20"/>
        </w:rPr>
        <w:t>Background:</w:t>
      </w:r>
      <w:r w:rsidRPr="00B43F23">
        <w:rPr>
          <w:rFonts w:ascii="Times New Roman" w:hAnsi="Times New Roman" w:cs="Times New Roman"/>
          <w:sz w:val="20"/>
        </w:rPr>
        <w:t xml:space="preserve"> Targeted biological immunotherapies have been highly effective in controlling skin disease in patients with psoriasis, but whether therapy delays progression to inflammatory arthritis is unclear. The aim of this study was to compare the time to incident inflammatory arthritis among patients newly receiving biological therapies for psoriasis.</w:t>
      </w:r>
    </w:p>
    <w:p w:rsidR="00B927D3" w:rsidRPr="00B43F23" w:rsidRDefault="00B927D3" w:rsidP="00B43F23">
      <w:pPr>
        <w:jc w:val="both"/>
        <w:rPr>
          <w:rFonts w:ascii="Times New Roman" w:hAnsi="Times New Roman" w:cs="Times New Roman"/>
          <w:sz w:val="20"/>
        </w:rPr>
      </w:pPr>
      <w:r w:rsidRPr="00B43F23">
        <w:rPr>
          <w:rFonts w:ascii="Times New Roman" w:hAnsi="Times New Roman" w:cs="Times New Roman"/>
          <w:b/>
          <w:sz w:val="20"/>
        </w:rPr>
        <w:t>Methods:</w:t>
      </w:r>
      <w:r w:rsidRPr="00B43F23">
        <w:rPr>
          <w:rFonts w:ascii="Times New Roman" w:hAnsi="Times New Roman" w:cs="Times New Roman"/>
          <w:sz w:val="20"/>
        </w:rPr>
        <w:t xml:space="preserve"> In this retrospective cohort study, we obtained data on a national sample of patients in the USA from the electronic health records database of the US-based </w:t>
      </w:r>
      <w:proofErr w:type="spellStart"/>
      <w:r w:rsidRPr="00B43F23">
        <w:rPr>
          <w:rFonts w:ascii="Times New Roman" w:hAnsi="Times New Roman" w:cs="Times New Roman"/>
          <w:sz w:val="20"/>
        </w:rPr>
        <w:t>TriNetX</w:t>
      </w:r>
      <w:proofErr w:type="spellEnd"/>
      <w:r w:rsidRPr="00B43F23">
        <w:rPr>
          <w:rFonts w:ascii="Times New Roman" w:hAnsi="Times New Roman" w:cs="Times New Roman"/>
          <w:sz w:val="20"/>
        </w:rPr>
        <w:t xml:space="preserve"> network. We included adult patients (aged ≥</w:t>
      </w:r>
      <w:r w:rsidR="00B43F23">
        <w:rPr>
          <w:rFonts w:ascii="Times New Roman" w:hAnsi="Times New Roman" w:cs="Times New Roman"/>
          <w:sz w:val="20"/>
        </w:rPr>
        <w:t xml:space="preserve"> </w:t>
      </w:r>
      <w:r w:rsidRPr="00B43F23">
        <w:rPr>
          <w:rFonts w:ascii="Times New Roman" w:hAnsi="Times New Roman" w:cs="Times New Roman"/>
          <w:sz w:val="20"/>
        </w:rPr>
        <w:t xml:space="preserve">18 years) with two diagnostic codes for psoriasis (&gt;30 days apart; International Classification of Diseases [ICD] codes) who had been newly prescribed a biologic (inhibitors of </w:t>
      </w:r>
      <w:proofErr w:type="spellStart"/>
      <w:r w:rsidR="00B43F23" w:rsidRPr="00B43F23">
        <w:rPr>
          <w:rFonts w:ascii="Times New Roman" w:hAnsi="Times New Roman" w:cs="Times New Roman"/>
          <w:sz w:val="20"/>
        </w:rPr>
        <w:t>Tumour</w:t>
      </w:r>
      <w:proofErr w:type="spellEnd"/>
      <w:r w:rsidR="00B43F23" w:rsidRPr="00B43F23">
        <w:rPr>
          <w:rFonts w:ascii="Times New Roman" w:hAnsi="Times New Roman" w:cs="Times New Roman"/>
          <w:sz w:val="20"/>
        </w:rPr>
        <w:t xml:space="preserve"> Necrosis Factor </w:t>
      </w:r>
      <w:r w:rsidRPr="00B43F23">
        <w:rPr>
          <w:rFonts w:ascii="Times New Roman" w:hAnsi="Times New Roman" w:cs="Times New Roman"/>
          <w:sz w:val="20"/>
        </w:rPr>
        <w:t xml:space="preserve">[TNF], </w:t>
      </w:r>
      <w:r w:rsidR="00B43F23" w:rsidRPr="00B43F23">
        <w:rPr>
          <w:rFonts w:ascii="Times New Roman" w:hAnsi="Times New Roman" w:cs="Times New Roman"/>
          <w:sz w:val="20"/>
        </w:rPr>
        <w:t xml:space="preserve">Interleukin </w:t>
      </w:r>
      <w:r w:rsidRPr="00B43F23">
        <w:rPr>
          <w:rFonts w:ascii="Times New Roman" w:hAnsi="Times New Roman" w:cs="Times New Roman"/>
          <w:sz w:val="20"/>
        </w:rPr>
        <w:t xml:space="preserve">[IL]-17, IL-23, or IL-12/23, first prescribed on or after the date of receiving a first psoriasis diagnosis code). The time to incident inflammatory arthritis, defined by first occurrence of a diagnostic code for psoriatic arthritis or other inflammatory arthritis after initiation of biological therapy, was graphed with use of the Kaplan-Meier estimate. Time-dependent risk for inflammatory arthritis was calculated with weighted Cox proportional hazards regression with anti-TNF exposure as the reference, adjusted for demographic and clinical </w:t>
      </w:r>
      <w:proofErr w:type="spellStart"/>
      <w:r w:rsidRPr="00B43F23">
        <w:rPr>
          <w:rFonts w:ascii="Times New Roman" w:hAnsi="Times New Roman" w:cs="Times New Roman"/>
          <w:sz w:val="20"/>
        </w:rPr>
        <w:t>covariables</w:t>
      </w:r>
      <w:proofErr w:type="spellEnd"/>
      <w:r w:rsidRPr="00B43F23">
        <w:rPr>
          <w:rFonts w:ascii="Times New Roman" w:hAnsi="Times New Roman" w:cs="Times New Roman"/>
          <w:sz w:val="20"/>
        </w:rPr>
        <w:t>. Sensitivity analyses were used to evaluate incident cases of psoriasis, increased exclusion periods for prevalent cases of inflammatory arthritis, drug switching</w:t>
      </w:r>
      <w:r w:rsidR="00B43F23">
        <w:rPr>
          <w:rFonts w:ascii="Times New Roman" w:hAnsi="Times New Roman" w:cs="Times New Roman"/>
          <w:sz w:val="20"/>
        </w:rPr>
        <w:t xml:space="preserve"> and</w:t>
      </w:r>
      <w:r w:rsidRPr="00B43F23">
        <w:rPr>
          <w:rFonts w:ascii="Times New Roman" w:hAnsi="Times New Roman" w:cs="Times New Roman"/>
          <w:sz w:val="20"/>
        </w:rPr>
        <w:t xml:space="preserve"> more stringent diseas</w:t>
      </w:r>
      <w:bookmarkStart w:id="0" w:name="_GoBack"/>
      <w:bookmarkEnd w:id="0"/>
      <w:r w:rsidRPr="00B43F23">
        <w:rPr>
          <w:rFonts w:ascii="Times New Roman" w:hAnsi="Times New Roman" w:cs="Times New Roman"/>
          <w:sz w:val="20"/>
        </w:rPr>
        <w:t>e and outcome definitions.</w:t>
      </w:r>
    </w:p>
    <w:p w:rsidR="00B927D3" w:rsidRPr="00B43F23" w:rsidRDefault="00B927D3" w:rsidP="00B43F23">
      <w:pPr>
        <w:jc w:val="both"/>
        <w:rPr>
          <w:rFonts w:ascii="Times New Roman" w:hAnsi="Times New Roman" w:cs="Times New Roman"/>
          <w:sz w:val="20"/>
        </w:rPr>
      </w:pPr>
      <w:r w:rsidRPr="00B43F23">
        <w:rPr>
          <w:rFonts w:ascii="Times New Roman" w:hAnsi="Times New Roman" w:cs="Times New Roman"/>
          <w:b/>
          <w:sz w:val="20"/>
        </w:rPr>
        <w:t>Findings:</w:t>
      </w:r>
      <w:r w:rsidRPr="00B43F23">
        <w:rPr>
          <w:rFonts w:ascii="Times New Roman" w:hAnsi="Times New Roman" w:cs="Times New Roman"/>
          <w:sz w:val="20"/>
        </w:rPr>
        <w:t xml:space="preserve"> Between Jan 1, 2014</w:t>
      </w:r>
      <w:r w:rsidR="00B43F23">
        <w:rPr>
          <w:rFonts w:ascii="Times New Roman" w:hAnsi="Times New Roman" w:cs="Times New Roman"/>
          <w:sz w:val="20"/>
        </w:rPr>
        <w:t xml:space="preserve"> and</w:t>
      </w:r>
      <w:r w:rsidRPr="00B43F23">
        <w:rPr>
          <w:rFonts w:ascii="Times New Roman" w:hAnsi="Times New Roman" w:cs="Times New Roman"/>
          <w:sz w:val="20"/>
        </w:rPr>
        <w:t xml:space="preserve"> June 1, 2022, we identified 15 501 patients with psoriasis (mean age 50</w:t>
      </w:r>
      <w:r w:rsidR="00B43F23">
        <w:rPr>
          <w:rFonts w:ascii="Times New Roman" w:hAnsi="Times New Roman" w:cs="Times New Roman"/>
          <w:sz w:val="20"/>
        </w:rPr>
        <w:t>.</w:t>
      </w:r>
      <w:r w:rsidRPr="00B43F23">
        <w:rPr>
          <w:rFonts w:ascii="Times New Roman" w:hAnsi="Times New Roman" w:cs="Times New Roman"/>
          <w:sz w:val="20"/>
        </w:rPr>
        <w:t>2 years [SD 15</w:t>
      </w:r>
      <w:r w:rsidR="00B43F23">
        <w:rPr>
          <w:rFonts w:ascii="Times New Roman" w:hAnsi="Times New Roman" w:cs="Times New Roman"/>
          <w:sz w:val="20"/>
        </w:rPr>
        <w:t>.</w:t>
      </w:r>
      <w:r w:rsidRPr="00B43F23">
        <w:rPr>
          <w:rFonts w:ascii="Times New Roman" w:hAnsi="Times New Roman" w:cs="Times New Roman"/>
          <w:sz w:val="20"/>
        </w:rPr>
        <w:t>0]; 8399 [54.2%] women and 7102 [45</w:t>
      </w:r>
      <w:r w:rsidR="00B43F23">
        <w:rPr>
          <w:rFonts w:ascii="Times New Roman" w:hAnsi="Times New Roman" w:cs="Times New Roman"/>
          <w:sz w:val="20"/>
        </w:rPr>
        <w:t>.</w:t>
      </w:r>
      <w:r w:rsidRPr="00B43F23">
        <w:rPr>
          <w:rFonts w:ascii="Times New Roman" w:hAnsi="Times New Roman" w:cs="Times New Roman"/>
          <w:sz w:val="20"/>
        </w:rPr>
        <w:t>8%] men; 11 175 [72</w:t>
      </w:r>
      <w:r w:rsidR="00B43F23">
        <w:rPr>
          <w:rFonts w:ascii="Times New Roman" w:hAnsi="Times New Roman" w:cs="Times New Roman"/>
          <w:sz w:val="20"/>
        </w:rPr>
        <w:t>.1%] White),</w:t>
      </w:r>
      <w:r w:rsidRPr="00B43F23">
        <w:rPr>
          <w:rFonts w:ascii="Times New Roman" w:hAnsi="Times New Roman" w:cs="Times New Roman"/>
          <w:sz w:val="20"/>
        </w:rPr>
        <w:t xml:space="preserve"> 976 (6</w:t>
      </w:r>
      <w:r w:rsidR="00B43F23">
        <w:rPr>
          <w:rFonts w:ascii="Times New Roman" w:hAnsi="Times New Roman" w:cs="Times New Roman"/>
          <w:sz w:val="20"/>
        </w:rPr>
        <w:t>.</w:t>
      </w:r>
      <w:r w:rsidRPr="00B43F23">
        <w:rPr>
          <w:rFonts w:ascii="Times New Roman" w:hAnsi="Times New Roman" w:cs="Times New Roman"/>
          <w:sz w:val="20"/>
        </w:rPr>
        <w:t>3%) of the 15 501 patients developed inflammatory arthritis, with a cumulative incidence of 2</w:t>
      </w:r>
      <w:r w:rsidR="00B43F23">
        <w:rPr>
          <w:rFonts w:ascii="Times New Roman" w:hAnsi="Times New Roman" w:cs="Times New Roman"/>
          <w:sz w:val="20"/>
        </w:rPr>
        <w:t>.</w:t>
      </w:r>
      <w:r w:rsidRPr="00B43F23">
        <w:rPr>
          <w:rFonts w:ascii="Times New Roman" w:hAnsi="Times New Roman" w:cs="Times New Roman"/>
          <w:sz w:val="20"/>
        </w:rPr>
        <w:t>6 cases per 100 person-years. In multivariable regression analyses, the risk of developing inflammatory arthritis was significantly lower in patients prescribed IL-12/23 inhibitors (adjusted HR 0</w:t>
      </w:r>
      <w:r w:rsidR="00B43F23">
        <w:rPr>
          <w:rFonts w:ascii="Times New Roman" w:hAnsi="Times New Roman" w:cs="Times New Roman"/>
          <w:sz w:val="20"/>
        </w:rPr>
        <w:t>.</w:t>
      </w:r>
      <w:r w:rsidRPr="00B43F23">
        <w:rPr>
          <w:rFonts w:ascii="Times New Roman" w:hAnsi="Times New Roman" w:cs="Times New Roman"/>
          <w:sz w:val="20"/>
        </w:rPr>
        <w:t>58, 95% CI 0</w:t>
      </w:r>
      <w:r w:rsidR="00B43F23">
        <w:rPr>
          <w:rFonts w:ascii="Times New Roman" w:hAnsi="Times New Roman" w:cs="Times New Roman"/>
          <w:sz w:val="20"/>
        </w:rPr>
        <w:t>.</w:t>
      </w:r>
      <w:r w:rsidRPr="00B43F23">
        <w:rPr>
          <w:rFonts w:ascii="Times New Roman" w:hAnsi="Times New Roman" w:cs="Times New Roman"/>
          <w:sz w:val="20"/>
        </w:rPr>
        <w:t>43–0</w:t>
      </w:r>
      <w:r w:rsidR="00B43F23">
        <w:rPr>
          <w:rFonts w:ascii="Times New Roman" w:hAnsi="Times New Roman" w:cs="Times New Roman"/>
          <w:sz w:val="20"/>
        </w:rPr>
        <w:t>.</w:t>
      </w:r>
      <w:r w:rsidRPr="00B43F23">
        <w:rPr>
          <w:rFonts w:ascii="Times New Roman" w:hAnsi="Times New Roman" w:cs="Times New Roman"/>
          <w:sz w:val="20"/>
        </w:rPr>
        <w:t>76) or IL-23 inhibitors (0</w:t>
      </w:r>
      <w:r w:rsidR="00B43F23">
        <w:rPr>
          <w:rFonts w:ascii="Times New Roman" w:hAnsi="Times New Roman" w:cs="Times New Roman"/>
          <w:sz w:val="20"/>
        </w:rPr>
        <w:t>.</w:t>
      </w:r>
      <w:r w:rsidRPr="00B43F23">
        <w:rPr>
          <w:rFonts w:ascii="Times New Roman" w:hAnsi="Times New Roman" w:cs="Times New Roman"/>
          <w:sz w:val="20"/>
        </w:rPr>
        <w:t>41, 0</w:t>
      </w:r>
      <w:r w:rsidR="00B43F23">
        <w:rPr>
          <w:rFonts w:ascii="Times New Roman" w:hAnsi="Times New Roman" w:cs="Times New Roman"/>
          <w:sz w:val="20"/>
        </w:rPr>
        <w:t>.</w:t>
      </w:r>
      <w:r w:rsidRPr="00B43F23">
        <w:rPr>
          <w:rFonts w:ascii="Times New Roman" w:hAnsi="Times New Roman" w:cs="Times New Roman"/>
          <w:sz w:val="20"/>
        </w:rPr>
        <w:t>17–0</w:t>
      </w:r>
      <w:r w:rsidR="00B43F23">
        <w:rPr>
          <w:rFonts w:ascii="Times New Roman" w:hAnsi="Times New Roman" w:cs="Times New Roman"/>
          <w:sz w:val="20"/>
        </w:rPr>
        <w:t>.</w:t>
      </w:r>
      <w:r w:rsidRPr="00B43F23">
        <w:rPr>
          <w:rFonts w:ascii="Times New Roman" w:hAnsi="Times New Roman" w:cs="Times New Roman"/>
          <w:sz w:val="20"/>
        </w:rPr>
        <w:t>95) than in patients prescribed TNF inhibitors. We found no significant difference for IL-17 inhibitors (0</w:t>
      </w:r>
      <w:r w:rsidR="00B43F23">
        <w:rPr>
          <w:rFonts w:ascii="Times New Roman" w:hAnsi="Times New Roman" w:cs="Times New Roman"/>
          <w:sz w:val="20"/>
        </w:rPr>
        <w:t>.</w:t>
      </w:r>
      <w:r w:rsidRPr="00B43F23">
        <w:rPr>
          <w:rFonts w:ascii="Times New Roman" w:hAnsi="Times New Roman" w:cs="Times New Roman"/>
          <w:sz w:val="20"/>
        </w:rPr>
        <w:t>86, 0</w:t>
      </w:r>
      <w:r w:rsidR="00B43F23">
        <w:rPr>
          <w:rFonts w:ascii="Times New Roman" w:hAnsi="Times New Roman" w:cs="Times New Roman"/>
          <w:sz w:val="20"/>
        </w:rPr>
        <w:t>.</w:t>
      </w:r>
      <w:r w:rsidRPr="00B43F23">
        <w:rPr>
          <w:rFonts w:ascii="Times New Roman" w:hAnsi="Times New Roman" w:cs="Times New Roman"/>
          <w:sz w:val="20"/>
        </w:rPr>
        <w:t>54–1</w:t>
      </w:r>
      <w:r w:rsidR="00B43F23">
        <w:rPr>
          <w:rFonts w:ascii="Times New Roman" w:hAnsi="Times New Roman" w:cs="Times New Roman"/>
          <w:sz w:val="20"/>
        </w:rPr>
        <w:t>.</w:t>
      </w:r>
      <w:r w:rsidRPr="00B43F23">
        <w:rPr>
          <w:rFonts w:ascii="Times New Roman" w:hAnsi="Times New Roman" w:cs="Times New Roman"/>
          <w:sz w:val="20"/>
        </w:rPr>
        <w:t>38) compared with TNF inhibitors. For IL-12/23 inhibitors, the results persisted in all sensitivity analyses. For IL-23 inhibitors, the results persisted in three of six sensitivity analyses, when a higher diagnostic threshold for incident arthritis was used and when excluding patients who developed arthritis within 3 or 6 months after first biologic prescription.</w:t>
      </w:r>
    </w:p>
    <w:p w:rsidR="00B927D3" w:rsidRPr="00B43F23" w:rsidRDefault="00B927D3" w:rsidP="00B43F23">
      <w:pPr>
        <w:jc w:val="both"/>
        <w:rPr>
          <w:rFonts w:ascii="Times New Roman" w:hAnsi="Times New Roman" w:cs="Times New Roman"/>
          <w:sz w:val="20"/>
        </w:rPr>
      </w:pPr>
      <w:r w:rsidRPr="00B43F23">
        <w:rPr>
          <w:rFonts w:ascii="Times New Roman" w:hAnsi="Times New Roman" w:cs="Times New Roman"/>
          <w:b/>
          <w:sz w:val="20"/>
        </w:rPr>
        <w:t>Interpretation:</w:t>
      </w:r>
      <w:r w:rsidRPr="00B43F23">
        <w:rPr>
          <w:rFonts w:ascii="Times New Roman" w:hAnsi="Times New Roman" w:cs="Times New Roman"/>
          <w:sz w:val="20"/>
        </w:rPr>
        <w:t xml:space="preserve"> In this large cohort study of patients with psoriasis, treatment with IL-12/23 inhibitors or IL-23 inhibitors was associated with reduced risk of progression to inflammatory arthritis compared with TNF inhibitors. Prospective observational cohorts with disease activity measures and pooled analyses of previous </w:t>
      </w:r>
      <w:proofErr w:type="spellStart"/>
      <w:r w:rsidRPr="00B43F23">
        <w:rPr>
          <w:rFonts w:ascii="Times New Roman" w:hAnsi="Times New Roman" w:cs="Times New Roman"/>
          <w:sz w:val="20"/>
        </w:rPr>
        <w:t>randomised</w:t>
      </w:r>
      <w:proofErr w:type="spellEnd"/>
      <w:r w:rsidRPr="00B43F23">
        <w:rPr>
          <w:rFonts w:ascii="Times New Roman" w:hAnsi="Times New Roman" w:cs="Times New Roman"/>
          <w:sz w:val="20"/>
        </w:rPr>
        <w:t xml:space="preserve"> trials are required to confirm these findings.</w:t>
      </w:r>
    </w:p>
    <w:p w:rsidR="00B927D3" w:rsidRPr="00B43F23" w:rsidRDefault="00B927D3" w:rsidP="00B927D3">
      <w:pPr>
        <w:rPr>
          <w:rFonts w:ascii="Times New Roman" w:hAnsi="Times New Roman" w:cs="Times New Roman"/>
          <w:b/>
          <w:sz w:val="24"/>
        </w:rPr>
      </w:pPr>
      <w:r w:rsidRPr="00B43F23">
        <w:rPr>
          <w:rFonts w:ascii="Times New Roman" w:hAnsi="Times New Roman" w:cs="Times New Roman"/>
          <w:b/>
          <w:sz w:val="24"/>
        </w:rPr>
        <w:t>Biography</w:t>
      </w:r>
    </w:p>
    <w:p w:rsidR="00474203" w:rsidRPr="00B43F23" w:rsidRDefault="00B927D3" w:rsidP="00B43F23">
      <w:pPr>
        <w:jc w:val="both"/>
        <w:rPr>
          <w:rFonts w:ascii="Times New Roman" w:hAnsi="Times New Roman" w:cs="Times New Roman"/>
          <w:sz w:val="20"/>
        </w:rPr>
      </w:pPr>
      <w:proofErr w:type="spellStart"/>
      <w:r w:rsidRPr="00B43F23">
        <w:rPr>
          <w:rFonts w:ascii="Times New Roman" w:hAnsi="Times New Roman" w:cs="Times New Roman"/>
          <w:sz w:val="20"/>
        </w:rPr>
        <w:t>Shikha</w:t>
      </w:r>
      <w:proofErr w:type="spellEnd"/>
      <w:r w:rsidRPr="00B43F23">
        <w:rPr>
          <w:rFonts w:ascii="Times New Roman" w:hAnsi="Times New Roman" w:cs="Times New Roman"/>
          <w:sz w:val="20"/>
        </w:rPr>
        <w:t xml:space="preserve"> </w:t>
      </w:r>
      <w:proofErr w:type="spellStart"/>
      <w:r w:rsidRPr="00B43F23">
        <w:rPr>
          <w:rFonts w:ascii="Times New Roman" w:hAnsi="Times New Roman" w:cs="Times New Roman"/>
          <w:sz w:val="20"/>
        </w:rPr>
        <w:t>Singla</w:t>
      </w:r>
      <w:proofErr w:type="spellEnd"/>
      <w:r w:rsidRPr="00B43F23">
        <w:rPr>
          <w:rFonts w:ascii="Times New Roman" w:hAnsi="Times New Roman" w:cs="Times New Roman"/>
          <w:sz w:val="20"/>
        </w:rPr>
        <w:t xml:space="preserve">, MD is an Assistant Professor of Medicine at the Medical College of Wisconsin, where she serves as the Medical Director of the psoriatic arthritis program. This program encompasses an interdisciplinary approach to management of patients with psoriasis and psoriatic arthritis including input from a dermatologist. This clinic is the only such dermatology/rheumatology clinic in the state of Wisconsin. </w:t>
      </w:r>
      <w:r w:rsidR="00B43F23">
        <w:rPr>
          <w:rFonts w:ascii="Times New Roman" w:hAnsi="Times New Roman" w:cs="Times New Roman"/>
          <w:sz w:val="20"/>
        </w:rPr>
        <w:t>She</w:t>
      </w:r>
      <w:r w:rsidRPr="00B43F23">
        <w:rPr>
          <w:rFonts w:ascii="Times New Roman" w:hAnsi="Times New Roman" w:cs="Times New Roman"/>
          <w:sz w:val="20"/>
        </w:rPr>
        <w:t xml:space="preserve"> is also the Co-Director of the ultrasound </w:t>
      </w:r>
      <w:r w:rsidRPr="00B43F23">
        <w:rPr>
          <w:rFonts w:ascii="Times New Roman" w:hAnsi="Times New Roman" w:cs="Times New Roman"/>
          <w:sz w:val="20"/>
        </w:rPr>
        <w:lastRenderedPageBreak/>
        <w:t>clinic. Her research interests include psoriatic disease where she aims to improve the quality of life of patients through patient centered studies.</w:t>
      </w:r>
    </w:p>
    <w:sectPr w:rsidR="00474203" w:rsidRPr="00B43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7D3"/>
    <w:rsid w:val="0032354D"/>
    <w:rsid w:val="00474203"/>
    <w:rsid w:val="00535872"/>
    <w:rsid w:val="00924B33"/>
    <w:rsid w:val="00B43F23"/>
    <w:rsid w:val="00B92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92098">
      <w:bodyDiv w:val="1"/>
      <w:marLeft w:val="0"/>
      <w:marRight w:val="0"/>
      <w:marTop w:val="0"/>
      <w:marBottom w:val="0"/>
      <w:divBdr>
        <w:top w:val="none" w:sz="0" w:space="0" w:color="auto"/>
        <w:left w:val="none" w:sz="0" w:space="0" w:color="auto"/>
        <w:bottom w:val="none" w:sz="0" w:space="0" w:color="auto"/>
        <w:right w:val="none" w:sz="0" w:space="0" w:color="auto"/>
      </w:divBdr>
      <w:divsChild>
        <w:div w:id="1935438536">
          <w:marLeft w:val="0"/>
          <w:marRight w:val="0"/>
          <w:marTop w:val="0"/>
          <w:marBottom w:val="60"/>
          <w:divBdr>
            <w:top w:val="none" w:sz="0" w:space="0" w:color="auto"/>
            <w:left w:val="none" w:sz="0" w:space="0" w:color="auto"/>
            <w:bottom w:val="none" w:sz="0" w:space="0" w:color="auto"/>
            <w:right w:val="none" w:sz="0" w:space="0" w:color="auto"/>
          </w:divBdr>
          <w:divsChild>
            <w:div w:id="15355856">
              <w:marLeft w:val="0"/>
              <w:marRight w:val="0"/>
              <w:marTop w:val="0"/>
              <w:marBottom w:val="0"/>
              <w:divBdr>
                <w:top w:val="none" w:sz="0" w:space="0" w:color="auto"/>
                <w:left w:val="none" w:sz="0" w:space="0" w:color="auto"/>
                <w:bottom w:val="none" w:sz="0" w:space="0" w:color="auto"/>
                <w:right w:val="none" w:sz="0" w:space="0" w:color="auto"/>
              </w:divBdr>
              <w:divsChild>
                <w:div w:id="1755468132">
                  <w:marLeft w:val="0"/>
                  <w:marRight w:val="0"/>
                  <w:marTop w:val="0"/>
                  <w:marBottom w:val="0"/>
                  <w:divBdr>
                    <w:top w:val="none" w:sz="0" w:space="0" w:color="auto"/>
                    <w:left w:val="none" w:sz="0" w:space="0" w:color="auto"/>
                    <w:bottom w:val="none" w:sz="0" w:space="0" w:color="auto"/>
                    <w:right w:val="none" w:sz="0" w:space="0" w:color="auto"/>
                  </w:divBdr>
                  <w:divsChild>
                    <w:div w:id="1608847037">
                      <w:marLeft w:val="0"/>
                      <w:marRight w:val="150"/>
                      <w:marTop w:val="30"/>
                      <w:marBottom w:val="0"/>
                      <w:divBdr>
                        <w:top w:val="none" w:sz="0" w:space="0" w:color="auto"/>
                        <w:left w:val="none" w:sz="0" w:space="0" w:color="auto"/>
                        <w:bottom w:val="none" w:sz="0" w:space="0" w:color="auto"/>
                        <w:right w:val="none" w:sz="0" w:space="0" w:color="auto"/>
                      </w:divBdr>
                      <w:divsChild>
                        <w:div w:id="883173948">
                          <w:marLeft w:val="0"/>
                          <w:marRight w:val="0"/>
                          <w:marTop w:val="0"/>
                          <w:marBottom w:val="0"/>
                          <w:divBdr>
                            <w:top w:val="none" w:sz="0" w:space="0" w:color="auto"/>
                            <w:left w:val="none" w:sz="0" w:space="0" w:color="auto"/>
                            <w:bottom w:val="none" w:sz="0" w:space="0" w:color="auto"/>
                            <w:right w:val="none" w:sz="0" w:space="0" w:color="auto"/>
                          </w:divBdr>
                        </w:div>
                      </w:divsChild>
                    </w:div>
                    <w:div w:id="2024280469">
                      <w:marLeft w:val="0"/>
                      <w:marRight w:val="150"/>
                      <w:marTop w:val="30"/>
                      <w:marBottom w:val="0"/>
                      <w:divBdr>
                        <w:top w:val="none" w:sz="0" w:space="0" w:color="auto"/>
                        <w:left w:val="none" w:sz="0" w:space="0" w:color="auto"/>
                        <w:bottom w:val="none" w:sz="0" w:space="0" w:color="auto"/>
                        <w:right w:val="none" w:sz="0" w:space="0" w:color="auto"/>
                      </w:divBdr>
                      <w:divsChild>
                        <w:div w:id="988825478">
                          <w:marLeft w:val="0"/>
                          <w:marRight w:val="0"/>
                          <w:marTop w:val="0"/>
                          <w:marBottom w:val="0"/>
                          <w:divBdr>
                            <w:top w:val="none" w:sz="0" w:space="0" w:color="auto"/>
                            <w:left w:val="none" w:sz="0" w:space="0" w:color="auto"/>
                            <w:bottom w:val="none" w:sz="0" w:space="0" w:color="auto"/>
                            <w:right w:val="none" w:sz="0" w:space="0" w:color="auto"/>
                          </w:divBdr>
                        </w:div>
                      </w:divsChild>
                    </w:div>
                    <w:div w:id="1248686183">
                      <w:marLeft w:val="0"/>
                      <w:marRight w:val="0"/>
                      <w:marTop w:val="0"/>
                      <w:marBottom w:val="0"/>
                      <w:divBdr>
                        <w:top w:val="none" w:sz="0" w:space="0" w:color="auto"/>
                        <w:left w:val="none" w:sz="0" w:space="0" w:color="auto"/>
                        <w:bottom w:val="none" w:sz="0" w:space="0" w:color="auto"/>
                        <w:right w:val="none" w:sz="0" w:space="0" w:color="auto"/>
                      </w:divBdr>
                      <w:divsChild>
                        <w:div w:id="49351838">
                          <w:marLeft w:val="0"/>
                          <w:marRight w:val="0"/>
                          <w:marTop w:val="0"/>
                          <w:marBottom w:val="0"/>
                          <w:divBdr>
                            <w:top w:val="none" w:sz="0" w:space="0" w:color="auto"/>
                            <w:left w:val="none" w:sz="0" w:space="0" w:color="auto"/>
                            <w:bottom w:val="none" w:sz="0" w:space="0" w:color="auto"/>
                            <w:right w:val="none" w:sz="0" w:space="0" w:color="auto"/>
                          </w:divBdr>
                          <w:divsChild>
                            <w:div w:id="1021542172">
                              <w:marLeft w:val="0"/>
                              <w:marRight w:val="0"/>
                              <w:marTop w:val="0"/>
                              <w:marBottom w:val="0"/>
                              <w:divBdr>
                                <w:top w:val="none" w:sz="0" w:space="0" w:color="auto"/>
                                <w:left w:val="none" w:sz="0" w:space="0" w:color="auto"/>
                                <w:bottom w:val="none" w:sz="0" w:space="0" w:color="auto"/>
                                <w:right w:val="none" w:sz="0" w:space="0" w:color="auto"/>
                              </w:divBdr>
                              <w:divsChild>
                                <w:div w:id="1964996835">
                                  <w:marLeft w:val="0"/>
                                  <w:marRight w:val="0"/>
                                  <w:marTop w:val="0"/>
                                  <w:marBottom w:val="0"/>
                                  <w:divBdr>
                                    <w:top w:val="none" w:sz="0" w:space="0" w:color="auto"/>
                                    <w:left w:val="none" w:sz="0" w:space="0" w:color="auto"/>
                                    <w:bottom w:val="none" w:sz="0" w:space="0" w:color="auto"/>
                                    <w:right w:val="none" w:sz="0" w:space="0" w:color="auto"/>
                                  </w:divBdr>
                                  <w:divsChild>
                                    <w:div w:id="1655989208">
                                      <w:marLeft w:val="360"/>
                                      <w:marRight w:val="360"/>
                                      <w:marTop w:val="360"/>
                                      <w:marBottom w:val="360"/>
                                      <w:divBdr>
                                        <w:top w:val="none" w:sz="0" w:space="0" w:color="auto"/>
                                        <w:left w:val="none" w:sz="0" w:space="0" w:color="auto"/>
                                        <w:bottom w:val="none" w:sz="0" w:space="0" w:color="auto"/>
                                        <w:right w:val="none" w:sz="0" w:space="0" w:color="auto"/>
                                      </w:divBdr>
                                      <w:divsChild>
                                        <w:div w:id="48197170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53111860">
                          <w:marLeft w:val="0"/>
                          <w:marRight w:val="0"/>
                          <w:marTop w:val="0"/>
                          <w:marBottom w:val="0"/>
                          <w:divBdr>
                            <w:top w:val="none" w:sz="0" w:space="0" w:color="auto"/>
                            <w:left w:val="none" w:sz="0" w:space="0" w:color="auto"/>
                            <w:bottom w:val="none" w:sz="0" w:space="0" w:color="auto"/>
                            <w:right w:val="none" w:sz="0" w:space="0" w:color="auto"/>
                          </w:divBdr>
                        </w:div>
                      </w:divsChild>
                    </w:div>
                    <w:div w:id="557983906">
                      <w:marLeft w:val="0"/>
                      <w:marRight w:val="150"/>
                      <w:marTop w:val="30"/>
                      <w:marBottom w:val="0"/>
                      <w:divBdr>
                        <w:top w:val="none" w:sz="0" w:space="0" w:color="auto"/>
                        <w:left w:val="none" w:sz="0" w:space="0" w:color="auto"/>
                        <w:bottom w:val="none" w:sz="0" w:space="0" w:color="auto"/>
                        <w:right w:val="none" w:sz="0" w:space="0" w:color="auto"/>
                      </w:divBdr>
                      <w:divsChild>
                        <w:div w:id="621880573">
                          <w:marLeft w:val="0"/>
                          <w:marRight w:val="0"/>
                          <w:marTop w:val="0"/>
                          <w:marBottom w:val="0"/>
                          <w:divBdr>
                            <w:top w:val="none" w:sz="0" w:space="0" w:color="auto"/>
                            <w:left w:val="none" w:sz="0" w:space="0" w:color="auto"/>
                            <w:bottom w:val="none" w:sz="0" w:space="0" w:color="auto"/>
                            <w:right w:val="none" w:sz="0" w:space="0" w:color="auto"/>
                          </w:divBdr>
                          <w:divsChild>
                            <w:div w:id="1309285469">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2023-05-03T11:39:00Z</dcterms:created>
  <dcterms:modified xsi:type="dcterms:W3CDTF">2023-05-03T11:59:00Z</dcterms:modified>
</cp:coreProperties>
</file>