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23F65">
      <w:pPr>
        <w:rPr>
          <w:rFonts w:ascii="Times New Roman" w:hAnsi="Times New Roman" w:cs="Times New Roman"/>
          <w:b/>
          <w:sz w:val="32"/>
        </w:rPr>
      </w:pPr>
      <w:r w:rsidRPr="00623F65">
        <w:rPr>
          <w:rFonts w:ascii="Times New Roman" w:hAnsi="Times New Roman" w:cs="Times New Roman"/>
          <w:b/>
          <w:sz w:val="32"/>
        </w:rPr>
        <w:t xml:space="preserve">Influence of local injection of platelet rich fibrin and </w:t>
      </w:r>
      <w:proofErr w:type="spellStart"/>
      <w:r w:rsidRPr="00623F65">
        <w:rPr>
          <w:rFonts w:ascii="Times New Roman" w:hAnsi="Times New Roman" w:cs="Times New Roman"/>
          <w:b/>
          <w:sz w:val="32"/>
        </w:rPr>
        <w:t>osteoprotegerin</w:t>
      </w:r>
      <w:proofErr w:type="spellEnd"/>
      <w:r w:rsidRPr="00623F65">
        <w:rPr>
          <w:rFonts w:ascii="Times New Roman" w:hAnsi="Times New Roman" w:cs="Times New Roman"/>
          <w:b/>
          <w:sz w:val="32"/>
        </w:rPr>
        <w:t xml:space="preserve"> on orthodontic relapse in a rabbit model</w:t>
      </w:r>
    </w:p>
    <w:p w:rsidR="00623F65" w:rsidRDefault="00623F65">
      <w:pPr>
        <w:rPr>
          <w:rFonts w:ascii="Times New Roman" w:hAnsi="Times New Roman" w:cs="Times New Roman"/>
          <w:sz w:val="24"/>
        </w:rPr>
      </w:pPr>
      <w:proofErr w:type="spellStart"/>
      <w:r w:rsidRPr="00623F65">
        <w:rPr>
          <w:rFonts w:ascii="Times New Roman" w:hAnsi="Times New Roman" w:cs="Times New Roman"/>
          <w:sz w:val="24"/>
        </w:rPr>
        <w:t>Hakam</w:t>
      </w:r>
      <w:proofErr w:type="spellEnd"/>
      <w:r w:rsidRPr="00623F65">
        <w:rPr>
          <w:rFonts w:ascii="Times New Roman" w:hAnsi="Times New Roman" w:cs="Times New Roman"/>
          <w:sz w:val="24"/>
        </w:rPr>
        <w:t xml:space="preserve"> H. Al‑</w:t>
      </w:r>
      <w:proofErr w:type="spellStart"/>
      <w:r w:rsidRPr="00623F65">
        <w:rPr>
          <w:rFonts w:ascii="Times New Roman" w:hAnsi="Times New Roman" w:cs="Times New Roman"/>
          <w:sz w:val="24"/>
        </w:rPr>
        <w:t>Fakhry</w:t>
      </w:r>
      <w:proofErr w:type="spellEnd"/>
      <w:r>
        <w:rPr>
          <w:rFonts w:ascii="Times New Roman" w:hAnsi="Times New Roman" w:cs="Times New Roman"/>
          <w:sz w:val="24"/>
        </w:rPr>
        <w:t xml:space="preserve">* and </w:t>
      </w:r>
      <w:r w:rsidRPr="00623F65">
        <w:rPr>
          <w:rFonts w:ascii="Times New Roman" w:hAnsi="Times New Roman" w:cs="Times New Roman"/>
          <w:sz w:val="24"/>
        </w:rPr>
        <w:t>Nada M. Al‑</w:t>
      </w:r>
      <w:proofErr w:type="spellStart"/>
      <w:r w:rsidRPr="00623F65">
        <w:rPr>
          <w:rFonts w:ascii="Times New Roman" w:hAnsi="Times New Roman" w:cs="Times New Roman"/>
          <w:sz w:val="24"/>
        </w:rPr>
        <w:t>Sayagh</w:t>
      </w:r>
      <w:proofErr w:type="spellEnd"/>
    </w:p>
    <w:p w:rsidR="00623F65" w:rsidRPr="00623F65" w:rsidRDefault="00623F65">
      <w:pPr>
        <w:rPr>
          <w:rFonts w:ascii="Times New Roman" w:hAnsi="Times New Roman" w:cs="Times New Roman"/>
        </w:rPr>
      </w:pPr>
      <w:r w:rsidRPr="00623F65">
        <w:rPr>
          <w:rFonts w:ascii="Times New Roman" w:hAnsi="Times New Roman" w:cs="Times New Roman"/>
        </w:rPr>
        <w:t>University of Mosul, Iraq</w:t>
      </w:r>
    </w:p>
    <w:p w:rsidR="00623F65" w:rsidRPr="00623F65" w:rsidRDefault="00623F65" w:rsidP="00623F65">
      <w:pPr>
        <w:jc w:val="center"/>
        <w:rPr>
          <w:rFonts w:ascii="Times New Roman" w:hAnsi="Times New Roman" w:cs="Times New Roman"/>
          <w:b/>
          <w:sz w:val="24"/>
        </w:rPr>
      </w:pPr>
      <w:r w:rsidRPr="00623F65">
        <w:rPr>
          <w:rFonts w:ascii="Times New Roman" w:hAnsi="Times New Roman" w:cs="Times New Roman"/>
          <w:b/>
          <w:sz w:val="24"/>
        </w:rPr>
        <w:t>Abstract</w:t>
      </w:r>
    </w:p>
    <w:p w:rsidR="00623F65" w:rsidRDefault="00623F65" w:rsidP="00623F65">
      <w:pPr>
        <w:jc w:val="both"/>
        <w:rPr>
          <w:rFonts w:ascii="Times New Roman" w:hAnsi="Times New Roman" w:cs="Times New Roman"/>
          <w:sz w:val="20"/>
        </w:rPr>
      </w:pPr>
      <w:r w:rsidRPr="00623F65">
        <w:rPr>
          <w:rFonts w:ascii="Times New Roman" w:hAnsi="Times New Roman" w:cs="Times New Roman"/>
          <w:b/>
          <w:sz w:val="20"/>
        </w:rPr>
        <w:t>Introduction:</w:t>
      </w:r>
      <w:r w:rsidRPr="00623F65">
        <w:rPr>
          <w:rFonts w:ascii="Times New Roman" w:hAnsi="Times New Roman" w:cs="Times New Roman"/>
          <w:sz w:val="20"/>
        </w:rPr>
        <w:t xml:space="preserve"> Relapse in orthodontic treatment remains a challenging and undesirable consequence of orthodontic treatment, Hence, a variety of biomedical agents, methods, and techniques have been investigated to reduce post-orthodontic relapse.</w:t>
      </w:r>
      <w:r w:rsidR="00DF00A5">
        <w:rPr>
          <w:rFonts w:ascii="Times New Roman" w:hAnsi="Times New Roman" w:cs="Times New Roman"/>
          <w:sz w:val="20"/>
        </w:rPr>
        <w:t xml:space="preserve"> </w:t>
      </w:r>
    </w:p>
    <w:p w:rsidR="00623F65" w:rsidRDefault="00623F65" w:rsidP="00623F65">
      <w:pPr>
        <w:jc w:val="both"/>
        <w:rPr>
          <w:rFonts w:ascii="Times New Roman" w:hAnsi="Times New Roman" w:cs="Times New Roman"/>
          <w:sz w:val="20"/>
        </w:rPr>
      </w:pPr>
      <w:r w:rsidRPr="00623F65">
        <w:rPr>
          <w:rFonts w:ascii="Times New Roman" w:hAnsi="Times New Roman" w:cs="Times New Roman"/>
          <w:b/>
          <w:sz w:val="20"/>
        </w:rPr>
        <w:t>Aim:</w:t>
      </w:r>
      <w:r w:rsidRPr="00623F65">
        <w:rPr>
          <w:rFonts w:ascii="Times New Roman" w:hAnsi="Times New Roman" w:cs="Times New Roman"/>
          <w:sz w:val="20"/>
        </w:rPr>
        <w:t xml:space="preserve"> This study sought to determine whether the local injection of Injectable Platelet Rich Fibrin (</w:t>
      </w:r>
      <w:proofErr w:type="spellStart"/>
      <w:r w:rsidRPr="00623F65">
        <w:rPr>
          <w:rFonts w:ascii="Times New Roman" w:hAnsi="Times New Roman" w:cs="Times New Roman"/>
          <w:sz w:val="20"/>
        </w:rPr>
        <w:t>i</w:t>
      </w:r>
      <w:proofErr w:type="spellEnd"/>
      <w:r w:rsidRPr="00623F65">
        <w:rPr>
          <w:rFonts w:ascii="Times New Roman" w:hAnsi="Times New Roman" w:cs="Times New Roman"/>
          <w:sz w:val="20"/>
        </w:rPr>
        <w:t xml:space="preserve">-PRF) or recombinant </w:t>
      </w:r>
      <w:proofErr w:type="spellStart"/>
      <w:r w:rsidRPr="00623F65">
        <w:rPr>
          <w:rFonts w:ascii="Times New Roman" w:hAnsi="Times New Roman" w:cs="Times New Roman"/>
          <w:sz w:val="20"/>
        </w:rPr>
        <w:t>Osteoprotegerin</w:t>
      </w:r>
      <w:proofErr w:type="spellEnd"/>
      <w:r w:rsidRPr="00623F65">
        <w:rPr>
          <w:rFonts w:ascii="Times New Roman" w:hAnsi="Times New Roman" w:cs="Times New Roman"/>
          <w:sz w:val="20"/>
        </w:rPr>
        <w:t xml:space="preserve"> (OPG-FC) could reduce orthodontic relapse by increasing bone density. It is also intended to further investigate the role of periodontal ligament and alveolar bone remodeling in rabbits and how they interplay during relapse.</w:t>
      </w:r>
    </w:p>
    <w:p w:rsidR="00623F65" w:rsidRDefault="00623F65" w:rsidP="00623F65">
      <w:pPr>
        <w:jc w:val="both"/>
        <w:rPr>
          <w:rFonts w:ascii="Times New Roman" w:hAnsi="Times New Roman" w:cs="Times New Roman"/>
          <w:sz w:val="20"/>
        </w:rPr>
      </w:pPr>
      <w:r w:rsidRPr="00623F65">
        <w:rPr>
          <w:rFonts w:ascii="Times New Roman" w:hAnsi="Times New Roman" w:cs="Times New Roman"/>
          <w:b/>
          <w:sz w:val="20"/>
        </w:rPr>
        <w:t>Materials and methods:</w:t>
      </w:r>
      <w:r w:rsidRPr="00623F65">
        <w:rPr>
          <w:rFonts w:ascii="Times New Roman" w:hAnsi="Times New Roman" w:cs="Times New Roman"/>
          <w:sz w:val="20"/>
        </w:rPr>
        <w:t xml:space="preserve"> Sixty-five adult male albino rabbits were randomly divided into 5 groups. Group I served as the base line group (control -</w:t>
      </w:r>
      <w:proofErr w:type="spellStart"/>
      <w:r w:rsidRPr="00623F65">
        <w:rPr>
          <w:rFonts w:ascii="Times New Roman" w:hAnsi="Times New Roman" w:cs="Times New Roman"/>
          <w:sz w:val="20"/>
        </w:rPr>
        <w:t>ve</w:t>
      </w:r>
      <w:proofErr w:type="spellEnd"/>
      <w:r w:rsidRPr="00623F65">
        <w:rPr>
          <w:rFonts w:ascii="Times New Roman" w:hAnsi="Times New Roman" w:cs="Times New Roman"/>
          <w:sz w:val="20"/>
        </w:rPr>
        <w:t>) of 5 rabbits, and four experimental groups of 15 rabbits each</w:t>
      </w:r>
      <w:r>
        <w:rPr>
          <w:rFonts w:ascii="Times New Roman" w:hAnsi="Times New Roman" w:cs="Times New Roman"/>
          <w:sz w:val="20"/>
        </w:rPr>
        <w:t xml:space="preserve"> including, group II (control +</w:t>
      </w:r>
      <w:proofErr w:type="spellStart"/>
      <w:r w:rsidRPr="00623F65">
        <w:rPr>
          <w:rFonts w:ascii="Times New Roman" w:hAnsi="Times New Roman" w:cs="Times New Roman"/>
          <w:sz w:val="20"/>
        </w:rPr>
        <w:t>ve</w:t>
      </w:r>
      <w:proofErr w:type="spellEnd"/>
      <w:r w:rsidRPr="00623F65">
        <w:rPr>
          <w:rFonts w:ascii="Times New Roman" w:hAnsi="Times New Roman" w:cs="Times New Roman"/>
          <w:sz w:val="20"/>
        </w:rPr>
        <w:t xml:space="preserve">), which served as the appliance control group and was injected with a 200 </w:t>
      </w:r>
      <w:proofErr w:type="spellStart"/>
      <w:r w:rsidRPr="00623F65">
        <w:rPr>
          <w:rFonts w:ascii="Times New Roman" w:hAnsi="Times New Roman" w:cs="Times New Roman"/>
          <w:sz w:val="20"/>
        </w:rPr>
        <w:t>μl</w:t>
      </w:r>
      <w:proofErr w:type="spellEnd"/>
      <w:r w:rsidRPr="00623F65">
        <w:rPr>
          <w:rFonts w:ascii="Times New Roman" w:hAnsi="Times New Roman" w:cs="Times New Roman"/>
          <w:sz w:val="20"/>
        </w:rPr>
        <w:t xml:space="preserve"> of Phosphate-Buffered Saline (PBS), group III, which was injected with 200 </w:t>
      </w:r>
      <w:proofErr w:type="spellStart"/>
      <w:r w:rsidRPr="00623F65">
        <w:rPr>
          <w:rFonts w:ascii="Times New Roman" w:hAnsi="Times New Roman" w:cs="Times New Roman"/>
          <w:sz w:val="20"/>
        </w:rPr>
        <w:t>μl</w:t>
      </w:r>
      <w:proofErr w:type="spellEnd"/>
      <w:r w:rsidRPr="00623F65">
        <w:rPr>
          <w:rFonts w:ascii="Times New Roman" w:hAnsi="Times New Roman" w:cs="Times New Roman"/>
          <w:sz w:val="20"/>
        </w:rPr>
        <w:t xml:space="preserve"> of Injectable Platelet Rich Fibrin (</w:t>
      </w:r>
      <w:proofErr w:type="spellStart"/>
      <w:r w:rsidRPr="00623F65">
        <w:rPr>
          <w:rFonts w:ascii="Times New Roman" w:hAnsi="Times New Roman" w:cs="Times New Roman"/>
          <w:sz w:val="20"/>
        </w:rPr>
        <w:t>i</w:t>
      </w:r>
      <w:proofErr w:type="spellEnd"/>
      <w:r w:rsidRPr="00623F65">
        <w:rPr>
          <w:rFonts w:ascii="Times New Roman" w:hAnsi="Times New Roman" w:cs="Times New Roman"/>
          <w:sz w:val="20"/>
        </w:rPr>
        <w:t xml:space="preserve">-PRF), group IV, which was injected with 400 </w:t>
      </w:r>
      <w:proofErr w:type="spellStart"/>
      <w:r w:rsidRPr="00623F65">
        <w:rPr>
          <w:rFonts w:ascii="Times New Roman" w:hAnsi="Times New Roman" w:cs="Times New Roman"/>
          <w:sz w:val="20"/>
        </w:rPr>
        <w:t>μl</w:t>
      </w:r>
      <w:proofErr w:type="spellEnd"/>
      <w:r w:rsidRPr="00623F65">
        <w:rPr>
          <w:rFonts w:ascii="Times New Roman" w:hAnsi="Times New Roman" w:cs="Times New Roman"/>
          <w:sz w:val="20"/>
        </w:rPr>
        <w:t xml:space="preserve"> of </w:t>
      </w:r>
      <w:proofErr w:type="spellStart"/>
      <w:r w:rsidRPr="00623F65">
        <w:rPr>
          <w:rFonts w:ascii="Times New Roman" w:hAnsi="Times New Roman" w:cs="Times New Roman"/>
          <w:sz w:val="20"/>
        </w:rPr>
        <w:t>i</w:t>
      </w:r>
      <w:proofErr w:type="spellEnd"/>
      <w:r w:rsidRPr="00623F65">
        <w:rPr>
          <w:rFonts w:ascii="Times New Roman" w:hAnsi="Times New Roman" w:cs="Times New Roman"/>
          <w:sz w:val="20"/>
        </w:rPr>
        <w:t xml:space="preserve">-PRF and group V, which was injected with a 200 </w:t>
      </w:r>
      <w:proofErr w:type="spellStart"/>
      <w:r w:rsidRPr="00623F65">
        <w:rPr>
          <w:rFonts w:ascii="Times New Roman" w:hAnsi="Times New Roman" w:cs="Times New Roman"/>
          <w:sz w:val="20"/>
        </w:rPr>
        <w:t>μl</w:t>
      </w:r>
      <w:proofErr w:type="spellEnd"/>
      <w:r w:rsidRPr="00623F65">
        <w:rPr>
          <w:rFonts w:ascii="Times New Roman" w:hAnsi="Times New Roman" w:cs="Times New Roman"/>
          <w:sz w:val="20"/>
        </w:rPr>
        <w:t xml:space="preserve"> </w:t>
      </w:r>
      <w:proofErr w:type="spellStart"/>
      <w:r w:rsidRPr="00623F65">
        <w:rPr>
          <w:rFonts w:ascii="Times New Roman" w:hAnsi="Times New Roman" w:cs="Times New Roman"/>
          <w:sz w:val="20"/>
        </w:rPr>
        <w:t>Osteoprotegerin</w:t>
      </w:r>
      <w:proofErr w:type="spellEnd"/>
      <w:r w:rsidRPr="00623F65">
        <w:rPr>
          <w:rFonts w:ascii="Times New Roman" w:hAnsi="Times New Roman" w:cs="Times New Roman"/>
          <w:sz w:val="20"/>
        </w:rPr>
        <w:t xml:space="preserve">-Fc (OPG-FC). Furthermore, each experimental group was subdivided into three subgroups of 5 rabbits each according </w:t>
      </w:r>
      <w:r>
        <w:rPr>
          <w:rFonts w:ascii="Times New Roman" w:hAnsi="Times New Roman" w:cs="Times New Roman"/>
          <w:sz w:val="20"/>
        </w:rPr>
        <w:t>to time of sacrifice (0</w:t>
      </w:r>
      <w:proofErr w:type="gramStart"/>
      <w:r>
        <w:rPr>
          <w:rFonts w:ascii="Times New Roman" w:hAnsi="Times New Roman" w:cs="Times New Roman"/>
          <w:sz w:val="20"/>
        </w:rPr>
        <w:t>,</w:t>
      </w:r>
      <w:r w:rsidRPr="00623F65">
        <w:rPr>
          <w:rFonts w:ascii="Times New Roman" w:hAnsi="Times New Roman" w:cs="Times New Roman"/>
          <w:sz w:val="20"/>
        </w:rPr>
        <w:t>10</w:t>
      </w:r>
      <w:proofErr w:type="gramEnd"/>
      <w:r w:rsidRPr="00623F65">
        <w:rPr>
          <w:rFonts w:ascii="Times New Roman" w:hAnsi="Times New Roman" w:cs="Times New Roman"/>
          <w:sz w:val="20"/>
        </w:rPr>
        <w:t xml:space="preserve">, and 20 days). For all experimental groups, the lower incisors of rabbits were moved distally by a modified orthodontic appliance with nickel-titanium open coil springs for 2 weeks, and then the appliance was maintained in position to retain the gained space for 2 weeks. During the retention period, each group was injected with its specific drug every 7 days. After the retention period, teeth are allowed to relapse. The results were evaluated by measuring the amount of relapse by direct measurement with a digital </w:t>
      </w:r>
      <w:proofErr w:type="spellStart"/>
      <w:r w:rsidRPr="00623F65">
        <w:rPr>
          <w:rFonts w:ascii="Times New Roman" w:hAnsi="Times New Roman" w:cs="Times New Roman"/>
          <w:sz w:val="20"/>
        </w:rPr>
        <w:t>vernier</w:t>
      </w:r>
      <w:proofErr w:type="spellEnd"/>
      <w:r w:rsidRPr="00623F65">
        <w:rPr>
          <w:rFonts w:ascii="Times New Roman" w:hAnsi="Times New Roman" w:cs="Times New Roman"/>
          <w:sz w:val="20"/>
        </w:rPr>
        <w:t>.</w:t>
      </w:r>
    </w:p>
    <w:p w:rsidR="00623F65" w:rsidRDefault="00623F65" w:rsidP="00623F65">
      <w:pPr>
        <w:jc w:val="both"/>
        <w:rPr>
          <w:rFonts w:ascii="Times New Roman" w:hAnsi="Times New Roman" w:cs="Times New Roman"/>
          <w:sz w:val="20"/>
        </w:rPr>
      </w:pPr>
      <w:r w:rsidRPr="00623F65">
        <w:rPr>
          <w:rFonts w:ascii="Times New Roman" w:hAnsi="Times New Roman" w:cs="Times New Roman"/>
          <w:b/>
          <w:sz w:val="20"/>
        </w:rPr>
        <w:t>Results:</w:t>
      </w:r>
      <w:r w:rsidRPr="00623F65">
        <w:rPr>
          <w:rFonts w:ascii="Times New Roman" w:hAnsi="Times New Roman" w:cs="Times New Roman"/>
          <w:sz w:val="20"/>
        </w:rPr>
        <w:t xml:space="preserve"> Relapse Distance (RD) for </w:t>
      </w:r>
      <w:proofErr w:type="spellStart"/>
      <w:r w:rsidRPr="00623F65">
        <w:rPr>
          <w:rFonts w:ascii="Times New Roman" w:hAnsi="Times New Roman" w:cs="Times New Roman"/>
          <w:sz w:val="20"/>
        </w:rPr>
        <w:t>i</w:t>
      </w:r>
      <w:proofErr w:type="spellEnd"/>
      <w:r w:rsidRPr="00623F65">
        <w:rPr>
          <w:rFonts w:ascii="Times New Roman" w:hAnsi="Times New Roman" w:cs="Times New Roman"/>
          <w:sz w:val="20"/>
        </w:rPr>
        <w:t>-PRF groups and OPG-Fc group showe</w:t>
      </w:r>
      <w:r>
        <w:rPr>
          <w:rFonts w:ascii="Times New Roman" w:hAnsi="Times New Roman" w:cs="Times New Roman"/>
          <w:sz w:val="20"/>
        </w:rPr>
        <w:t>d a significant decrease at 10</w:t>
      </w:r>
      <w:proofErr w:type="gramStart"/>
      <w:r>
        <w:rPr>
          <w:rFonts w:ascii="Times New Roman" w:hAnsi="Times New Roman" w:cs="Times New Roman"/>
          <w:sz w:val="20"/>
        </w:rPr>
        <w:t>,13,</w:t>
      </w:r>
      <w:r w:rsidRPr="00623F65">
        <w:rPr>
          <w:rFonts w:ascii="Times New Roman" w:hAnsi="Times New Roman" w:cs="Times New Roman"/>
          <w:sz w:val="20"/>
        </w:rPr>
        <w:t>17</w:t>
      </w:r>
      <w:proofErr w:type="gramEnd"/>
      <w:r w:rsidRPr="00623F65">
        <w:rPr>
          <w:rFonts w:ascii="Times New Roman" w:hAnsi="Times New Roman" w:cs="Times New Roman"/>
          <w:sz w:val="20"/>
        </w:rPr>
        <w:t xml:space="preserve">, and 20 days compared to the control group. At the same time, the OPG-FC group had a significantly higher RD than </w:t>
      </w:r>
      <w:proofErr w:type="gramStart"/>
      <w:r w:rsidRPr="00623F65">
        <w:rPr>
          <w:rFonts w:ascii="Times New Roman" w:hAnsi="Times New Roman" w:cs="Times New Roman"/>
          <w:sz w:val="20"/>
        </w:rPr>
        <w:t xml:space="preserve">the </w:t>
      </w:r>
      <w:proofErr w:type="spellStart"/>
      <w:r w:rsidRPr="00623F65">
        <w:rPr>
          <w:rFonts w:ascii="Times New Roman" w:hAnsi="Times New Roman" w:cs="Times New Roman"/>
          <w:sz w:val="20"/>
        </w:rPr>
        <w:t>i</w:t>
      </w:r>
      <w:proofErr w:type="spellEnd"/>
      <w:proofErr w:type="gramEnd"/>
      <w:r w:rsidRPr="00623F65">
        <w:rPr>
          <w:rFonts w:ascii="Times New Roman" w:hAnsi="Times New Roman" w:cs="Times New Roman"/>
          <w:sz w:val="20"/>
        </w:rPr>
        <w:t>-PRF groups at days 17 and 20 in the upper regio</w:t>
      </w:r>
      <w:bookmarkStart w:id="0" w:name="_GoBack"/>
      <w:bookmarkEnd w:id="0"/>
      <w:r w:rsidRPr="00623F65">
        <w:rPr>
          <w:rFonts w:ascii="Times New Roman" w:hAnsi="Times New Roman" w:cs="Times New Roman"/>
          <w:sz w:val="20"/>
        </w:rPr>
        <w:t xml:space="preserve">n. Histologically, </w:t>
      </w:r>
      <w:proofErr w:type="gramStart"/>
      <w:r w:rsidRPr="00623F65">
        <w:rPr>
          <w:rFonts w:ascii="Times New Roman" w:hAnsi="Times New Roman" w:cs="Times New Roman"/>
          <w:sz w:val="20"/>
        </w:rPr>
        <w:t xml:space="preserve">the </w:t>
      </w:r>
      <w:proofErr w:type="spellStart"/>
      <w:r w:rsidRPr="00623F65">
        <w:rPr>
          <w:rFonts w:ascii="Times New Roman" w:hAnsi="Times New Roman" w:cs="Times New Roman"/>
          <w:sz w:val="20"/>
        </w:rPr>
        <w:t>i</w:t>
      </w:r>
      <w:proofErr w:type="spellEnd"/>
      <w:proofErr w:type="gramEnd"/>
      <w:r w:rsidRPr="00623F65">
        <w:rPr>
          <w:rFonts w:ascii="Times New Roman" w:hAnsi="Times New Roman" w:cs="Times New Roman"/>
          <w:sz w:val="20"/>
        </w:rPr>
        <w:t xml:space="preserve">-PRF groups in the cervical region had a significantly narrower PDL width, higher percentage of NBA, higher </w:t>
      </w:r>
      <w:proofErr w:type="spellStart"/>
      <w:r w:rsidRPr="00623F65">
        <w:rPr>
          <w:rFonts w:ascii="Times New Roman" w:hAnsi="Times New Roman" w:cs="Times New Roman"/>
          <w:sz w:val="20"/>
        </w:rPr>
        <w:t>Ob.N</w:t>
      </w:r>
      <w:proofErr w:type="spellEnd"/>
      <w:r w:rsidRPr="00623F65">
        <w:rPr>
          <w:rFonts w:ascii="Times New Roman" w:hAnsi="Times New Roman" w:cs="Times New Roman"/>
          <w:sz w:val="20"/>
        </w:rPr>
        <w:t xml:space="preserve"> and blood vessels than groups II and V at 0 day</w:t>
      </w:r>
      <w:r>
        <w:rPr>
          <w:rFonts w:ascii="Times New Roman" w:hAnsi="Times New Roman" w:cs="Times New Roman"/>
          <w:sz w:val="20"/>
        </w:rPr>
        <w:t xml:space="preserve"> [Figure 1]</w:t>
      </w:r>
      <w:r w:rsidRPr="00623F65">
        <w:rPr>
          <w:rFonts w:ascii="Times New Roman" w:hAnsi="Times New Roman" w:cs="Times New Roman"/>
          <w:sz w:val="20"/>
        </w:rPr>
        <w:t>.</w:t>
      </w:r>
    </w:p>
    <w:p w:rsidR="00623F65" w:rsidRDefault="00623F65" w:rsidP="00623F65">
      <w:pPr>
        <w:jc w:val="both"/>
        <w:rPr>
          <w:rFonts w:ascii="Times New Roman" w:hAnsi="Times New Roman" w:cs="Times New Roman"/>
          <w:sz w:val="20"/>
        </w:rPr>
      </w:pPr>
      <w:r w:rsidRPr="00623F65">
        <w:rPr>
          <w:rFonts w:ascii="Times New Roman" w:hAnsi="Times New Roman" w:cs="Times New Roman"/>
          <w:b/>
          <w:sz w:val="20"/>
        </w:rPr>
        <w:t>Conclusi</w:t>
      </w:r>
      <w:r>
        <w:rPr>
          <w:rFonts w:ascii="Times New Roman" w:hAnsi="Times New Roman" w:cs="Times New Roman"/>
          <w:b/>
          <w:sz w:val="20"/>
        </w:rPr>
        <w:t>on</w:t>
      </w:r>
      <w:r w:rsidRPr="00623F65">
        <w:rPr>
          <w:rFonts w:ascii="Times New Roman" w:hAnsi="Times New Roman" w:cs="Times New Roman"/>
          <w:b/>
          <w:sz w:val="20"/>
        </w:rPr>
        <w:t>:</w:t>
      </w:r>
      <w:r w:rsidRPr="00623F65">
        <w:rPr>
          <w:rFonts w:ascii="Times New Roman" w:hAnsi="Times New Roman" w:cs="Times New Roman"/>
          <w:sz w:val="20"/>
        </w:rPr>
        <w:t xml:space="preserve"> Findings imply that </w:t>
      </w:r>
      <w:proofErr w:type="spellStart"/>
      <w:r w:rsidRPr="00623F65">
        <w:rPr>
          <w:rFonts w:ascii="Times New Roman" w:hAnsi="Times New Roman" w:cs="Times New Roman"/>
          <w:sz w:val="20"/>
        </w:rPr>
        <w:t>i</w:t>
      </w:r>
      <w:proofErr w:type="spellEnd"/>
      <w:r w:rsidRPr="00623F65">
        <w:rPr>
          <w:rFonts w:ascii="Times New Roman" w:hAnsi="Times New Roman" w:cs="Times New Roman"/>
          <w:sz w:val="20"/>
        </w:rPr>
        <w:t xml:space="preserve">-PRF and OPG-FC have the potential to improve tooth stability following orthodontic tooth movement, most likely by increasing alveolar bone density and inhibiting alveolar bone </w:t>
      </w:r>
      <w:proofErr w:type="spellStart"/>
      <w:r w:rsidRPr="00623F65">
        <w:rPr>
          <w:rFonts w:ascii="Times New Roman" w:hAnsi="Times New Roman" w:cs="Times New Roman"/>
          <w:sz w:val="20"/>
        </w:rPr>
        <w:t>resorption</w:t>
      </w:r>
      <w:proofErr w:type="spellEnd"/>
      <w:r w:rsidRPr="00623F65">
        <w:rPr>
          <w:rFonts w:ascii="Times New Roman" w:hAnsi="Times New Roman" w:cs="Times New Roman"/>
          <w:sz w:val="20"/>
        </w:rPr>
        <w:t xml:space="preserve">. Also, </w:t>
      </w:r>
      <w:proofErr w:type="spellStart"/>
      <w:r w:rsidRPr="00623F65">
        <w:rPr>
          <w:rFonts w:ascii="Times New Roman" w:hAnsi="Times New Roman" w:cs="Times New Roman"/>
          <w:sz w:val="20"/>
        </w:rPr>
        <w:t>i</w:t>
      </w:r>
      <w:proofErr w:type="spellEnd"/>
      <w:r w:rsidRPr="00623F65">
        <w:rPr>
          <w:rFonts w:ascii="Times New Roman" w:hAnsi="Times New Roman" w:cs="Times New Roman"/>
          <w:sz w:val="20"/>
        </w:rPr>
        <w:t>-PRF showed an effect on the inhibition of relapse for a longer time than OPG-FC.</w:t>
      </w:r>
    </w:p>
    <w:p w:rsidR="00623F65" w:rsidRDefault="00623F65" w:rsidP="00623F6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65A349E">
            <wp:extent cx="3164205" cy="11341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134110"/>
                    </a:xfrm>
                    <a:prstGeom prst="rect">
                      <a:avLst/>
                    </a:prstGeom>
                    <a:noFill/>
                  </pic:spPr>
                </pic:pic>
              </a:graphicData>
            </a:graphic>
          </wp:inline>
        </w:drawing>
      </w:r>
    </w:p>
    <w:p w:rsidR="00623F65" w:rsidRDefault="00623F65" w:rsidP="00623F65">
      <w:pPr>
        <w:jc w:val="center"/>
        <w:rPr>
          <w:rFonts w:ascii="Times New Roman" w:hAnsi="Times New Roman" w:cs="Times New Roman"/>
          <w:sz w:val="20"/>
        </w:rPr>
      </w:pPr>
      <w:proofErr w:type="gramStart"/>
      <w:r>
        <w:rPr>
          <w:rFonts w:ascii="Times New Roman" w:hAnsi="Times New Roman" w:cs="Times New Roman"/>
          <w:sz w:val="20"/>
        </w:rPr>
        <w:t>Figure 1.</w:t>
      </w:r>
      <w:proofErr w:type="gramEnd"/>
      <w:r>
        <w:rPr>
          <w:rFonts w:ascii="Times New Roman" w:hAnsi="Times New Roman" w:cs="Times New Roman"/>
          <w:sz w:val="20"/>
        </w:rPr>
        <w:t xml:space="preserve"> </w:t>
      </w:r>
      <w:proofErr w:type="gramStart"/>
      <w:r w:rsidRPr="00623F65">
        <w:rPr>
          <w:rFonts w:ascii="Times New Roman" w:hAnsi="Times New Roman" w:cs="Times New Roman"/>
          <w:sz w:val="20"/>
        </w:rPr>
        <w:t>The mean of RD in the upper region at different days for all groups.</w:t>
      </w:r>
      <w:proofErr w:type="gramEnd"/>
    </w:p>
    <w:p w:rsidR="00623F65" w:rsidRPr="00623F65" w:rsidRDefault="00623F65" w:rsidP="00623F65">
      <w:pPr>
        <w:rPr>
          <w:rFonts w:ascii="Times New Roman" w:hAnsi="Times New Roman" w:cs="Times New Roman"/>
          <w:b/>
          <w:sz w:val="24"/>
        </w:rPr>
      </w:pPr>
      <w:r w:rsidRPr="00623F65">
        <w:rPr>
          <w:rFonts w:ascii="Times New Roman" w:hAnsi="Times New Roman" w:cs="Times New Roman"/>
          <w:b/>
          <w:sz w:val="24"/>
        </w:rPr>
        <w:lastRenderedPageBreak/>
        <w:t xml:space="preserve">Biography </w:t>
      </w:r>
    </w:p>
    <w:p w:rsidR="00623F65" w:rsidRPr="00623F65" w:rsidRDefault="00623F65" w:rsidP="00623F65">
      <w:pPr>
        <w:jc w:val="both"/>
        <w:rPr>
          <w:rFonts w:ascii="Times New Roman" w:hAnsi="Times New Roman" w:cs="Times New Roman"/>
          <w:sz w:val="20"/>
        </w:rPr>
      </w:pPr>
      <w:proofErr w:type="spellStart"/>
      <w:r w:rsidRPr="00623F65">
        <w:rPr>
          <w:rFonts w:ascii="Times New Roman" w:hAnsi="Times New Roman" w:cs="Times New Roman"/>
          <w:sz w:val="20"/>
        </w:rPr>
        <w:t>Hakam</w:t>
      </w:r>
      <w:proofErr w:type="spellEnd"/>
      <w:r w:rsidRPr="00623F65">
        <w:rPr>
          <w:rFonts w:ascii="Times New Roman" w:hAnsi="Times New Roman" w:cs="Times New Roman"/>
          <w:sz w:val="20"/>
        </w:rPr>
        <w:t xml:space="preserve"> </w:t>
      </w:r>
      <w:proofErr w:type="spellStart"/>
      <w:r w:rsidRPr="00623F65">
        <w:rPr>
          <w:rFonts w:ascii="Times New Roman" w:hAnsi="Times New Roman" w:cs="Times New Roman"/>
          <w:sz w:val="20"/>
        </w:rPr>
        <w:t>Alfakhry</w:t>
      </w:r>
      <w:proofErr w:type="spellEnd"/>
      <w:r w:rsidRPr="00623F65">
        <w:rPr>
          <w:rFonts w:ascii="Times New Roman" w:hAnsi="Times New Roman" w:cs="Times New Roman"/>
          <w:sz w:val="20"/>
        </w:rPr>
        <w:t xml:space="preserve"> has the following qualifications: 29/6/1996 Bachelor of Science in Dentistry/College of Dentistry/University of Mosul, then at 15/10/2001 M.Sc. Orthodontics/College of Dentistry/University of Baghdad and 17/5/2022 PhD in general dentistry from the College of Dentistry/University of Mosul. The Iraqi Dental Association granted a license to practice dentistry to Iraqis in Baghdad on September 14, 1997, with registration number 4621. From 2002 to 2009 Assistant Lecturer in the Faculty of Dentistry, University of </w:t>
      </w:r>
      <w:proofErr w:type="spellStart"/>
      <w:r w:rsidRPr="00623F65">
        <w:rPr>
          <w:rFonts w:ascii="Times New Roman" w:hAnsi="Times New Roman" w:cs="Times New Roman"/>
          <w:sz w:val="20"/>
        </w:rPr>
        <w:t>Mustansiriya</w:t>
      </w:r>
      <w:proofErr w:type="spellEnd"/>
      <w:r w:rsidRPr="00623F65">
        <w:rPr>
          <w:rFonts w:ascii="Times New Roman" w:hAnsi="Times New Roman" w:cs="Times New Roman"/>
          <w:sz w:val="20"/>
        </w:rPr>
        <w:t xml:space="preserve"> (minutes of the fourth-grade students in addition to overseeing the clinics and laboratory for fifth grade and fourth grade). Then from 2009 to 2015 lecturer in the Faculty of Dentistry, University of Mosul, minutes of the fourth and fifth grade students in addition to overseeing the clinics. </w:t>
      </w:r>
      <w:r w:rsidR="00DF00A5">
        <w:rPr>
          <w:rFonts w:ascii="Times New Roman" w:hAnsi="Times New Roman" w:cs="Times New Roman"/>
          <w:sz w:val="20"/>
        </w:rPr>
        <w:t xml:space="preserve">From </w:t>
      </w:r>
      <w:r w:rsidRPr="00623F65">
        <w:rPr>
          <w:rFonts w:ascii="Times New Roman" w:hAnsi="Times New Roman" w:cs="Times New Roman"/>
          <w:sz w:val="20"/>
        </w:rPr>
        <w:t xml:space="preserve">2015-till now, assistant professor lecturer in the Faculty of Dentistry at the University of Mosul minutes of the fourth and fifth grade students in addition to overseeing the clinics. Furthermore, he supervises many post-graduate students at the University of Mosul's College of Dentistry. Finally, he had more than 10 published </w:t>
      </w:r>
      <w:r w:rsidR="00DF00A5" w:rsidRPr="00623F65">
        <w:rPr>
          <w:rFonts w:ascii="Times New Roman" w:hAnsi="Times New Roman" w:cs="Times New Roman"/>
          <w:sz w:val="20"/>
        </w:rPr>
        <w:t>articles</w:t>
      </w:r>
      <w:r w:rsidRPr="00623F65">
        <w:rPr>
          <w:rFonts w:ascii="Times New Roman" w:hAnsi="Times New Roman" w:cs="Times New Roman"/>
          <w:sz w:val="20"/>
        </w:rPr>
        <w:t>.</w:t>
      </w:r>
    </w:p>
    <w:sectPr w:rsidR="00623F65" w:rsidRPr="00623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F65"/>
    <w:rsid w:val="00474203"/>
    <w:rsid w:val="00535872"/>
    <w:rsid w:val="00623F65"/>
    <w:rsid w:val="00924B33"/>
    <w:rsid w:val="00DF0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F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F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2022-08-27T03:57:00Z</dcterms:created>
  <dcterms:modified xsi:type="dcterms:W3CDTF">2022-08-27T04:06:00Z</dcterms:modified>
</cp:coreProperties>
</file>