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A7632">
      <w:pPr>
        <w:rPr>
          <w:rFonts w:ascii="Times New Roman" w:hAnsi="Times New Roman" w:cs="Times New Roman"/>
          <w:b/>
          <w:sz w:val="32"/>
        </w:rPr>
      </w:pPr>
      <w:r w:rsidRPr="009A7632">
        <w:rPr>
          <w:rFonts w:ascii="Times New Roman" w:hAnsi="Times New Roman" w:cs="Times New Roman"/>
          <w:b/>
          <w:sz w:val="32"/>
        </w:rPr>
        <w:t>Evaluation of surface roughness and bacterial adhesion after finishing procedures in temporary crown materials</w:t>
      </w:r>
    </w:p>
    <w:p w:rsidR="009A7632" w:rsidRDefault="009A7632">
      <w:pPr>
        <w:rPr>
          <w:rFonts w:ascii="Times New Roman" w:hAnsi="Times New Roman" w:cs="Times New Roman"/>
          <w:sz w:val="24"/>
        </w:rPr>
      </w:pPr>
      <w:proofErr w:type="spellStart"/>
      <w:r w:rsidRPr="009A7632">
        <w:rPr>
          <w:rFonts w:ascii="Times New Roman" w:hAnsi="Times New Roman" w:cs="Times New Roman"/>
          <w:sz w:val="24"/>
        </w:rPr>
        <w:t>Eralp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Evran</w:t>
      </w:r>
      <w:r w:rsidRPr="009A763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A7632">
        <w:rPr>
          <w:rFonts w:ascii="Times New Roman" w:hAnsi="Times New Roman" w:cs="Times New Roman"/>
          <w:sz w:val="24"/>
        </w:rPr>
        <w:t>Ozge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A7632">
        <w:rPr>
          <w:rFonts w:ascii="Times New Roman" w:hAnsi="Times New Roman" w:cs="Times New Roman"/>
          <w:sz w:val="24"/>
        </w:rPr>
        <w:t>Parlar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OZ</w:t>
      </w:r>
      <w:r w:rsidRPr="009A763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9A7632">
        <w:rPr>
          <w:rFonts w:ascii="Times New Roman" w:hAnsi="Times New Roman" w:cs="Times New Roman"/>
          <w:sz w:val="24"/>
        </w:rPr>
        <w:t>Asude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A7632">
        <w:rPr>
          <w:rFonts w:ascii="Times New Roman" w:hAnsi="Times New Roman" w:cs="Times New Roman"/>
          <w:sz w:val="24"/>
        </w:rPr>
        <w:t>Dilek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Nalbant</w:t>
      </w:r>
      <w:r w:rsidRPr="009A7632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</w:t>
      </w:r>
      <w:r w:rsidRPr="009A7632">
        <w:t xml:space="preserve"> </w:t>
      </w:r>
      <w:proofErr w:type="spellStart"/>
      <w:r w:rsidRPr="009A7632">
        <w:rPr>
          <w:rFonts w:ascii="Times New Roman" w:hAnsi="Times New Roman" w:cs="Times New Roman"/>
          <w:sz w:val="24"/>
        </w:rPr>
        <w:t>Yasemin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ZER</w:t>
      </w:r>
      <w:r w:rsidRPr="009A763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A7632">
        <w:rPr>
          <w:rFonts w:ascii="Times New Roman" w:hAnsi="Times New Roman" w:cs="Times New Roman"/>
          <w:sz w:val="24"/>
        </w:rPr>
        <w:t>Ayse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A7632">
        <w:rPr>
          <w:rFonts w:ascii="Times New Roman" w:hAnsi="Times New Roman" w:cs="Times New Roman"/>
          <w:sz w:val="24"/>
        </w:rPr>
        <w:t>Buyuktas</w:t>
      </w:r>
      <w:proofErr w:type="spellEnd"/>
      <w:r w:rsidRPr="009A7632">
        <w:rPr>
          <w:rFonts w:ascii="Times New Roman" w:hAnsi="Times New Roman" w:cs="Times New Roman"/>
          <w:sz w:val="24"/>
        </w:rPr>
        <w:t xml:space="preserve"> Manay</w:t>
      </w:r>
      <w:r w:rsidRPr="009A7632">
        <w:rPr>
          <w:rFonts w:ascii="Times New Roman" w:hAnsi="Times New Roman" w:cs="Times New Roman"/>
          <w:sz w:val="24"/>
          <w:vertAlign w:val="superscript"/>
        </w:rPr>
        <w:t>1</w:t>
      </w:r>
    </w:p>
    <w:p w:rsidR="009A7632" w:rsidRPr="009A7632" w:rsidRDefault="009A7632" w:rsidP="009A7632">
      <w:pPr>
        <w:spacing w:after="0"/>
        <w:rPr>
          <w:rFonts w:ascii="Times New Roman" w:hAnsi="Times New Roman" w:cs="Times New Roman"/>
        </w:rPr>
      </w:pPr>
      <w:r w:rsidRPr="009A7632">
        <w:rPr>
          <w:rFonts w:ascii="Times New Roman" w:hAnsi="Times New Roman" w:cs="Times New Roman"/>
          <w:vertAlign w:val="superscript"/>
        </w:rPr>
        <w:t>1</w:t>
      </w:r>
      <w:r w:rsidRPr="009A7632">
        <w:rPr>
          <w:rFonts w:ascii="Times New Roman" w:hAnsi="Times New Roman" w:cs="Times New Roman"/>
        </w:rPr>
        <w:t>Gaziantep University, Turkey</w:t>
      </w:r>
    </w:p>
    <w:p w:rsidR="009A7632" w:rsidRPr="009A7632" w:rsidRDefault="009A7632">
      <w:pPr>
        <w:rPr>
          <w:rFonts w:ascii="Times New Roman" w:hAnsi="Times New Roman" w:cs="Times New Roman"/>
        </w:rPr>
      </w:pPr>
      <w:r w:rsidRPr="009A7632">
        <w:rPr>
          <w:rFonts w:ascii="Times New Roman" w:hAnsi="Times New Roman" w:cs="Times New Roman"/>
          <w:vertAlign w:val="superscript"/>
        </w:rPr>
        <w:t>2</w:t>
      </w:r>
      <w:r w:rsidRPr="009A7632">
        <w:rPr>
          <w:rFonts w:ascii="Times New Roman" w:hAnsi="Times New Roman" w:cs="Times New Roman"/>
        </w:rPr>
        <w:t>Gazi University, Turkey</w:t>
      </w:r>
    </w:p>
    <w:p w:rsidR="009A7632" w:rsidRPr="009A7632" w:rsidRDefault="009A7632" w:rsidP="009A7632">
      <w:pPr>
        <w:jc w:val="center"/>
        <w:rPr>
          <w:rFonts w:ascii="Times New Roman" w:hAnsi="Times New Roman" w:cs="Times New Roman"/>
          <w:b/>
          <w:sz w:val="24"/>
        </w:rPr>
      </w:pPr>
      <w:r w:rsidRPr="009A7632">
        <w:rPr>
          <w:rFonts w:ascii="Times New Roman" w:hAnsi="Times New Roman" w:cs="Times New Roman"/>
          <w:b/>
          <w:sz w:val="24"/>
        </w:rPr>
        <w:t>Abstract</w:t>
      </w:r>
    </w:p>
    <w:p w:rsidR="009A7632" w:rsidRDefault="009A7632" w:rsidP="009A7632">
      <w:pPr>
        <w:jc w:val="both"/>
        <w:rPr>
          <w:rFonts w:ascii="Times New Roman" w:hAnsi="Times New Roman" w:cs="Times New Roman"/>
          <w:sz w:val="20"/>
        </w:rPr>
      </w:pPr>
      <w:r w:rsidRPr="009A7632">
        <w:rPr>
          <w:rFonts w:ascii="Times New Roman" w:hAnsi="Times New Roman" w:cs="Times New Roman"/>
          <w:sz w:val="20"/>
        </w:rPr>
        <w:t xml:space="preserve">It is important to use a temporary restoration until the treatment is finished in order to protect the prepared teeth and ensure the patient's comfort during the construction of fixed restorations. Today, </w:t>
      </w:r>
      <w:proofErr w:type="spellStart"/>
      <w:r w:rsidRPr="009A7632">
        <w:rPr>
          <w:rFonts w:ascii="Times New Roman" w:hAnsi="Times New Roman" w:cs="Times New Roman"/>
          <w:sz w:val="20"/>
        </w:rPr>
        <w:t>polymethyl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methacrylate, </w:t>
      </w:r>
      <w:proofErr w:type="spellStart"/>
      <w:r w:rsidRPr="009A7632">
        <w:rPr>
          <w:rFonts w:ascii="Times New Roman" w:hAnsi="Times New Roman" w:cs="Times New Roman"/>
          <w:sz w:val="20"/>
        </w:rPr>
        <w:t>polyethyl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methacrylate, urethane </w:t>
      </w:r>
      <w:proofErr w:type="spellStart"/>
      <w:r w:rsidRPr="009A7632">
        <w:rPr>
          <w:rFonts w:ascii="Times New Roman" w:hAnsi="Times New Roman" w:cs="Times New Roman"/>
          <w:sz w:val="20"/>
        </w:rPr>
        <w:t>dimethacrylate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9A7632">
        <w:rPr>
          <w:rFonts w:ascii="Times New Roman" w:hAnsi="Times New Roman" w:cs="Times New Roman"/>
          <w:sz w:val="20"/>
        </w:rPr>
        <w:t>bis</w:t>
      </w:r>
      <w:proofErr w:type="spellEnd"/>
      <w:r w:rsidRPr="009A7632">
        <w:rPr>
          <w:rFonts w:ascii="Times New Roman" w:hAnsi="Times New Roman" w:cs="Times New Roman"/>
          <w:sz w:val="20"/>
        </w:rPr>
        <w:t>-Acryl resins are used as permanent temporary restoration materials. Polymerization in these materials can be activated chemic</w:t>
      </w:r>
      <w:bookmarkStart w:id="0" w:name="_GoBack"/>
      <w:bookmarkEnd w:id="0"/>
      <w:r w:rsidRPr="009A7632">
        <w:rPr>
          <w:rFonts w:ascii="Times New Roman" w:hAnsi="Times New Roman" w:cs="Times New Roman"/>
          <w:sz w:val="20"/>
        </w:rPr>
        <w:t xml:space="preserve">ally, by light or by both chemical and light. In recent years, temporary restorations have also been produced by forming pre-polymerized resin blocks industrially with Computer Aided Design/Computer Aided Manufacturing (CAD/CAM) technique. The aim of this study is the ideal finishing process of temporary crown materials; it is to prepare restorations in the most ideal way by detecting surface roughness and bacterial adhesion parameters. It is planned to prepare 144 samples from 6 different temporary crown materials that will be used in the study. Samples from each group of temporary materials were divided into two subgroups (n=12). After finishing the samples, surface roughness values were measured using an optical </w:t>
      </w:r>
      <w:proofErr w:type="spellStart"/>
      <w:r w:rsidRPr="009A7632">
        <w:rPr>
          <w:rFonts w:ascii="Times New Roman" w:hAnsi="Times New Roman" w:cs="Times New Roman"/>
          <w:sz w:val="20"/>
        </w:rPr>
        <w:t>profilometer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. Surface roughness values were measured and compared after applied surface treatments. Scanning Electron Microscope (SEM) analysis was performed for one sample from each group. A bacterial adhesion test was performed to determine whether there was bacterial involvement on the surfaces of the samples. As a result of our study, it was observed that there was less bacterial involvement in the polishing samples. The most bacterial involvement was observed in the </w:t>
      </w:r>
      <w:proofErr w:type="spellStart"/>
      <w:r w:rsidRPr="009A7632">
        <w:rPr>
          <w:rFonts w:ascii="Times New Roman" w:hAnsi="Times New Roman" w:cs="Times New Roman"/>
          <w:sz w:val="20"/>
        </w:rPr>
        <w:t>polyethylmethacrylate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control and </w:t>
      </w:r>
      <w:proofErr w:type="spellStart"/>
      <w:r w:rsidRPr="009A7632">
        <w:rPr>
          <w:rFonts w:ascii="Times New Roman" w:hAnsi="Times New Roman" w:cs="Times New Roman"/>
          <w:sz w:val="20"/>
        </w:rPr>
        <w:t>bis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acrylic composite control group. In addition, intra-group surface roughness was increased after polishing in all groups except </w:t>
      </w:r>
      <w:proofErr w:type="spellStart"/>
      <w:r w:rsidRPr="009A7632">
        <w:rPr>
          <w:rFonts w:ascii="Times New Roman" w:hAnsi="Times New Roman" w:cs="Times New Roman"/>
          <w:sz w:val="20"/>
        </w:rPr>
        <w:t>polymethylmethacrylate</w:t>
      </w:r>
      <w:proofErr w:type="spellEnd"/>
      <w:r w:rsidRPr="009A7632">
        <w:rPr>
          <w:rFonts w:ascii="Times New Roman" w:hAnsi="Times New Roman" w:cs="Times New Roman"/>
          <w:sz w:val="20"/>
        </w:rPr>
        <w:t>.</w:t>
      </w:r>
    </w:p>
    <w:p w:rsidR="009A7632" w:rsidRPr="009A7632" w:rsidRDefault="009A7632" w:rsidP="009A7632">
      <w:pPr>
        <w:rPr>
          <w:rFonts w:ascii="Times New Roman" w:hAnsi="Times New Roman" w:cs="Times New Roman"/>
          <w:b/>
          <w:sz w:val="24"/>
        </w:rPr>
      </w:pPr>
      <w:r w:rsidRPr="009A7632">
        <w:rPr>
          <w:rFonts w:ascii="Times New Roman" w:hAnsi="Times New Roman" w:cs="Times New Roman"/>
          <w:b/>
          <w:sz w:val="24"/>
        </w:rPr>
        <w:t>Biography</w:t>
      </w:r>
    </w:p>
    <w:p w:rsidR="009A7632" w:rsidRPr="009A7632" w:rsidRDefault="009A7632" w:rsidP="009A763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A7632">
        <w:rPr>
          <w:rFonts w:ascii="Times New Roman" w:hAnsi="Times New Roman" w:cs="Times New Roman"/>
          <w:sz w:val="20"/>
        </w:rPr>
        <w:t>Ozge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A7632">
        <w:rPr>
          <w:rFonts w:ascii="Times New Roman" w:hAnsi="Times New Roman" w:cs="Times New Roman"/>
          <w:sz w:val="20"/>
        </w:rPr>
        <w:t>Parlar</w:t>
      </w:r>
      <w:proofErr w:type="spellEnd"/>
      <w:r w:rsidRPr="009A763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OZ, DDS PhD is affiliated to </w:t>
      </w:r>
      <w:r w:rsidRPr="009A7632">
        <w:rPr>
          <w:rFonts w:ascii="Times New Roman" w:hAnsi="Times New Roman" w:cs="Times New Roman"/>
          <w:sz w:val="20"/>
        </w:rPr>
        <w:t xml:space="preserve">Gaziantep University, Faculty of Dentistry, </w:t>
      </w:r>
      <w:proofErr w:type="gramStart"/>
      <w:r w:rsidRPr="009A7632">
        <w:rPr>
          <w:rFonts w:ascii="Times New Roman" w:hAnsi="Times New Roman" w:cs="Times New Roman"/>
          <w:sz w:val="20"/>
        </w:rPr>
        <w:t>Gaziantep</w:t>
      </w:r>
      <w:proofErr w:type="gramEnd"/>
      <w:r w:rsidRPr="009A7632">
        <w:rPr>
          <w:rFonts w:ascii="Times New Roman" w:hAnsi="Times New Roman" w:cs="Times New Roman"/>
          <w:sz w:val="20"/>
        </w:rPr>
        <w:t>, Turkey.</w:t>
      </w:r>
    </w:p>
    <w:sectPr w:rsidR="009A7632" w:rsidRPr="009A7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32"/>
    <w:rsid w:val="0032354D"/>
    <w:rsid w:val="00474203"/>
    <w:rsid w:val="00535872"/>
    <w:rsid w:val="00924B33"/>
    <w:rsid w:val="009A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2023-05-10T09:16:00Z</dcterms:created>
  <dcterms:modified xsi:type="dcterms:W3CDTF">2023-05-10T09:24:00Z</dcterms:modified>
</cp:coreProperties>
</file>