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8A284F">
      <w:pPr>
        <w:rPr>
          <w:rFonts w:ascii="Times New Roman" w:hAnsi="Times New Roman" w:cs="Times New Roman"/>
          <w:b/>
          <w:sz w:val="32"/>
        </w:rPr>
      </w:pPr>
      <w:bookmarkStart w:id="0" w:name="_GoBack"/>
      <w:proofErr w:type="spellStart"/>
      <w:r w:rsidRPr="008A284F">
        <w:rPr>
          <w:rFonts w:ascii="Times New Roman" w:hAnsi="Times New Roman" w:cs="Times New Roman"/>
          <w:b/>
          <w:sz w:val="32"/>
        </w:rPr>
        <w:t>Thermosensitive</w:t>
      </w:r>
      <w:proofErr w:type="spellEnd"/>
      <w:r w:rsidRPr="008A284F">
        <w:rPr>
          <w:rFonts w:ascii="Times New Roman" w:hAnsi="Times New Roman" w:cs="Times New Roman"/>
          <w:b/>
          <w:sz w:val="32"/>
        </w:rPr>
        <w:t xml:space="preserve"> </w:t>
      </w:r>
      <w:r w:rsidRPr="00A4154D">
        <w:rPr>
          <w:rFonts w:ascii="Times New Roman" w:hAnsi="Times New Roman" w:cs="Times New Roman"/>
          <w:b/>
          <w:i/>
          <w:sz w:val="32"/>
        </w:rPr>
        <w:t>in situ</w:t>
      </w:r>
      <w:r w:rsidRPr="008A284F">
        <w:rPr>
          <w:rFonts w:ascii="Times New Roman" w:hAnsi="Times New Roman" w:cs="Times New Roman"/>
          <w:b/>
          <w:sz w:val="32"/>
        </w:rPr>
        <w:t xml:space="preserve"> forming gel containing </w:t>
      </w:r>
      <w:proofErr w:type="spellStart"/>
      <w:r w:rsidRPr="008A284F">
        <w:rPr>
          <w:rFonts w:ascii="Times New Roman" w:hAnsi="Times New Roman" w:cs="Times New Roman"/>
          <w:b/>
          <w:sz w:val="32"/>
        </w:rPr>
        <w:t>bevacizumab</w:t>
      </w:r>
      <w:proofErr w:type="spellEnd"/>
      <w:r w:rsidRPr="008A284F">
        <w:rPr>
          <w:rFonts w:ascii="Times New Roman" w:hAnsi="Times New Roman" w:cs="Times New Roman"/>
          <w:b/>
          <w:sz w:val="32"/>
        </w:rPr>
        <w:t xml:space="preserve"> loaded nanoparticles for </w:t>
      </w:r>
      <w:proofErr w:type="spellStart"/>
      <w:r w:rsidRPr="008A284F">
        <w:rPr>
          <w:rFonts w:ascii="Times New Roman" w:hAnsi="Times New Roman" w:cs="Times New Roman"/>
          <w:b/>
          <w:sz w:val="32"/>
        </w:rPr>
        <w:t>choroidal</w:t>
      </w:r>
      <w:proofErr w:type="spellEnd"/>
      <w:r w:rsidRPr="008A284F">
        <w:rPr>
          <w:rFonts w:ascii="Times New Roman" w:hAnsi="Times New Roman" w:cs="Times New Roman"/>
          <w:b/>
          <w:sz w:val="32"/>
        </w:rPr>
        <w:t xml:space="preserve"> neovascularization treatment</w:t>
      </w:r>
    </w:p>
    <w:p w:rsidR="008A284F" w:rsidRDefault="008A284F">
      <w:pPr>
        <w:rPr>
          <w:rFonts w:ascii="Times New Roman" w:hAnsi="Times New Roman" w:cs="Times New Roman"/>
          <w:sz w:val="24"/>
        </w:rPr>
      </w:pPr>
      <w:proofErr w:type="spellStart"/>
      <w:r w:rsidRPr="008A284F">
        <w:rPr>
          <w:rFonts w:ascii="Times New Roman" w:hAnsi="Times New Roman" w:cs="Times New Roman"/>
          <w:sz w:val="24"/>
        </w:rPr>
        <w:t>Reyhaneh</w:t>
      </w:r>
      <w:proofErr w:type="spellEnd"/>
      <w:r w:rsidRPr="008A284F">
        <w:rPr>
          <w:rFonts w:ascii="Times New Roman" w:hAnsi="Times New Roman" w:cs="Times New Roman"/>
          <w:sz w:val="24"/>
        </w:rPr>
        <w:t xml:space="preserve"> V</w:t>
      </w:r>
      <w:r>
        <w:rPr>
          <w:rFonts w:ascii="Times New Roman" w:hAnsi="Times New Roman" w:cs="Times New Roman"/>
          <w:sz w:val="24"/>
        </w:rPr>
        <w:t>arshochian</w:t>
      </w:r>
      <w:r w:rsidRPr="00A4154D">
        <w:rPr>
          <w:rFonts w:ascii="Times New Roman" w:hAnsi="Times New Roman" w:cs="Times New Roman"/>
          <w:sz w:val="24"/>
          <w:vertAlign w:val="superscript"/>
        </w:rPr>
        <w:t>1</w:t>
      </w:r>
      <w:r w:rsidR="00A4154D">
        <w:rPr>
          <w:rFonts w:ascii="Times New Roman" w:hAnsi="Times New Roman" w:cs="Times New Roman"/>
          <w:sz w:val="24"/>
        </w:rPr>
        <w:t>*</w:t>
      </w:r>
      <w:r>
        <w:rPr>
          <w:rFonts w:ascii="Times New Roman" w:hAnsi="Times New Roman" w:cs="Times New Roman"/>
          <w:sz w:val="24"/>
        </w:rPr>
        <w:t xml:space="preserve">, </w:t>
      </w:r>
      <w:proofErr w:type="spellStart"/>
      <w:r>
        <w:rPr>
          <w:rFonts w:ascii="Times New Roman" w:hAnsi="Times New Roman" w:cs="Times New Roman"/>
          <w:sz w:val="24"/>
        </w:rPr>
        <w:t>Rassoul</w:t>
      </w:r>
      <w:proofErr w:type="spellEnd"/>
      <w:r>
        <w:rPr>
          <w:rFonts w:ascii="Times New Roman" w:hAnsi="Times New Roman" w:cs="Times New Roman"/>
          <w:sz w:val="24"/>
        </w:rPr>
        <w:t xml:space="preserve"> Dinarvand</w:t>
      </w:r>
      <w:r w:rsidRPr="00A4154D">
        <w:rPr>
          <w:rFonts w:ascii="Times New Roman" w:hAnsi="Times New Roman" w:cs="Times New Roman"/>
          <w:sz w:val="24"/>
          <w:vertAlign w:val="superscript"/>
        </w:rPr>
        <w:t>2</w:t>
      </w:r>
      <w:r>
        <w:rPr>
          <w:rFonts w:ascii="Times New Roman" w:hAnsi="Times New Roman" w:cs="Times New Roman"/>
          <w:sz w:val="24"/>
        </w:rPr>
        <w:t xml:space="preserve"> and</w:t>
      </w:r>
      <w:r w:rsidRPr="008A284F">
        <w:rPr>
          <w:rFonts w:ascii="Times New Roman" w:hAnsi="Times New Roman" w:cs="Times New Roman"/>
          <w:sz w:val="24"/>
        </w:rPr>
        <w:t xml:space="preserve"> </w:t>
      </w:r>
      <w:proofErr w:type="spellStart"/>
      <w:r w:rsidRPr="008A284F">
        <w:rPr>
          <w:rFonts w:ascii="Times New Roman" w:hAnsi="Times New Roman" w:cs="Times New Roman"/>
          <w:sz w:val="24"/>
        </w:rPr>
        <w:t>Mahmood</w:t>
      </w:r>
      <w:proofErr w:type="spellEnd"/>
      <w:r w:rsidRPr="008A284F">
        <w:rPr>
          <w:rFonts w:ascii="Times New Roman" w:hAnsi="Times New Roman" w:cs="Times New Roman"/>
          <w:sz w:val="24"/>
        </w:rPr>
        <w:t xml:space="preserve"> Jeddi-Tehrani</w:t>
      </w:r>
      <w:r w:rsidRPr="00A4154D">
        <w:rPr>
          <w:rFonts w:ascii="Times New Roman" w:hAnsi="Times New Roman" w:cs="Times New Roman"/>
          <w:sz w:val="24"/>
          <w:vertAlign w:val="superscript"/>
        </w:rPr>
        <w:t>3</w:t>
      </w:r>
    </w:p>
    <w:p w:rsidR="008A284F" w:rsidRPr="00A4154D" w:rsidRDefault="008A284F" w:rsidP="00A4154D">
      <w:pPr>
        <w:spacing w:after="0"/>
        <w:rPr>
          <w:rFonts w:ascii="Times New Roman" w:hAnsi="Times New Roman" w:cs="Times New Roman"/>
        </w:rPr>
      </w:pPr>
      <w:r w:rsidRPr="00A4154D">
        <w:rPr>
          <w:rFonts w:ascii="Times New Roman" w:hAnsi="Times New Roman" w:cs="Times New Roman"/>
          <w:vertAlign w:val="superscript"/>
        </w:rPr>
        <w:t>1</w:t>
      </w:r>
      <w:r w:rsidRPr="00A4154D">
        <w:rPr>
          <w:rFonts w:ascii="Times New Roman" w:hAnsi="Times New Roman" w:cs="Times New Roman"/>
        </w:rPr>
        <w:t xml:space="preserve">Shahid </w:t>
      </w:r>
      <w:proofErr w:type="spellStart"/>
      <w:r w:rsidRPr="00A4154D">
        <w:rPr>
          <w:rFonts w:ascii="Times New Roman" w:hAnsi="Times New Roman" w:cs="Times New Roman"/>
        </w:rPr>
        <w:t>Beheshti</w:t>
      </w:r>
      <w:proofErr w:type="spellEnd"/>
      <w:r w:rsidRPr="00A4154D">
        <w:rPr>
          <w:rFonts w:ascii="Times New Roman" w:hAnsi="Times New Roman" w:cs="Times New Roman"/>
        </w:rPr>
        <w:t xml:space="preserve"> University of Medical Sciences, Iran</w:t>
      </w:r>
    </w:p>
    <w:p w:rsidR="008A284F" w:rsidRPr="00A4154D" w:rsidRDefault="008A284F" w:rsidP="00A4154D">
      <w:pPr>
        <w:spacing w:after="0"/>
        <w:rPr>
          <w:rFonts w:ascii="Times New Roman" w:hAnsi="Times New Roman" w:cs="Times New Roman"/>
        </w:rPr>
      </w:pPr>
      <w:r w:rsidRPr="00A4154D">
        <w:rPr>
          <w:rFonts w:ascii="Times New Roman" w:hAnsi="Times New Roman" w:cs="Times New Roman"/>
          <w:vertAlign w:val="superscript"/>
        </w:rPr>
        <w:t>2</w:t>
      </w:r>
      <w:r w:rsidRPr="00A4154D">
        <w:rPr>
          <w:rFonts w:ascii="Times New Roman" w:hAnsi="Times New Roman" w:cs="Times New Roman"/>
        </w:rPr>
        <w:t>Tehran University of Medical Sciences, Iran</w:t>
      </w:r>
    </w:p>
    <w:p w:rsidR="008A284F" w:rsidRPr="00A4154D" w:rsidRDefault="008A284F">
      <w:pPr>
        <w:rPr>
          <w:rFonts w:ascii="Times New Roman" w:hAnsi="Times New Roman" w:cs="Times New Roman"/>
        </w:rPr>
      </w:pPr>
      <w:r w:rsidRPr="00A4154D">
        <w:rPr>
          <w:rFonts w:ascii="Times New Roman" w:hAnsi="Times New Roman" w:cs="Times New Roman"/>
          <w:vertAlign w:val="superscript"/>
        </w:rPr>
        <w:t>3</w:t>
      </w:r>
      <w:r w:rsidR="00A4154D" w:rsidRPr="00A4154D">
        <w:rPr>
          <w:rFonts w:ascii="Times New Roman" w:hAnsi="Times New Roman" w:cs="Times New Roman"/>
        </w:rPr>
        <w:t>Avicenna Research Institute, Iran</w:t>
      </w:r>
    </w:p>
    <w:p w:rsidR="00A4154D" w:rsidRPr="00A4154D" w:rsidRDefault="00A4154D" w:rsidP="00A4154D">
      <w:pPr>
        <w:jc w:val="center"/>
        <w:rPr>
          <w:rFonts w:ascii="Times New Roman" w:hAnsi="Times New Roman" w:cs="Times New Roman"/>
          <w:b/>
          <w:sz w:val="24"/>
        </w:rPr>
      </w:pPr>
      <w:r w:rsidRPr="00A4154D">
        <w:rPr>
          <w:rFonts w:ascii="Times New Roman" w:hAnsi="Times New Roman" w:cs="Times New Roman"/>
          <w:b/>
          <w:sz w:val="24"/>
        </w:rPr>
        <w:t>Abstract</w:t>
      </w:r>
    </w:p>
    <w:p w:rsidR="00A4154D" w:rsidRDefault="00A4154D" w:rsidP="00A4154D">
      <w:pPr>
        <w:jc w:val="both"/>
        <w:rPr>
          <w:rFonts w:ascii="Times New Roman" w:hAnsi="Times New Roman" w:cs="Times New Roman"/>
          <w:sz w:val="20"/>
        </w:rPr>
      </w:pPr>
      <w:proofErr w:type="spellStart"/>
      <w:r w:rsidRPr="00A4154D">
        <w:rPr>
          <w:rFonts w:ascii="Times New Roman" w:hAnsi="Times New Roman" w:cs="Times New Roman"/>
          <w:sz w:val="20"/>
        </w:rPr>
        <w:t>Choroidal</w:t>
      </w:r>
      <w:proofErr w:type="spellEnd"/>
      <w:r w:rsidRPr="00A4154D">
        <w:rPr>
          <w:rFonts w:ascii="Times New Roman" w:hAnsi="Times New Roman" w:cs="Times New Roman"/>
          <w:sz w:val="20"/>
        </w:rPr>
        <w:t xml:space="preserve"> Neo</w:t>
      </w:r>
      <w:r>
        <w:rPr>
          <w:rFonts w:ascii="Times New Roman" w:hAnsi="Times New Roman" w:cs="Times New Roman"/>
          <w:sz w:val="20"/>
        </w:rPr>
        <w:t>-</w:t>
      </w:r>
      <w:r w:rsidRPr="00A4154D">
        <w:rPr>
          <w:rFonts w:ascii="Times New Roman" w:hAnsi="Times New Roman" w:cs="Times New Roman"/>
          <w:sz w:val="20"/>
        </w:rPr>
        <w:t>Vascularization (CNV) is considered as the leading cause of vision loss in different posterior segment ocular diseases such as proliferative diabetic retinopathy, retinal vein occlusi</w:t>
      </w:r>
      <w:r>
        <w:rPr>
          <w:rFonts w:ascii="Times New Roman" w:hAnsi="Times New Roman" w:cs="Times New Roman"/>
          <w:sz w:val="20"/>
        </w:rPr>
        <w:t>ons, retinopathy of prematurity</w:t>
      </w:r>
      <w:r w:rsidRPr="00A4154D">
        <w:rPr>
          <w:rFonts w:ascii="Times New Roman" w:hAnsi="Times New Roman" w:cs="Times New Roman"/>
          <w:sz w:val="20"/>
        </w:rPr>
        <w:t xml:space="preserve"> and Age-related Macular Degeneration (AMD). Today, the most effective treatments of CNV are the ones applied through injections; however, short half-life and fast clearance of drugs, e.g. </w:t>
      </w:r>
      <w:proofErr w:type="spellStart"/>
      <w:r w:rsidRPr="00A4154D">
        <w:rPr>
          <w:rFonts w:ascii="Times New Roman" w:hAnsi="Times New Roman" w:cs="Times New Roman"/>
          <w:sz w:val="20"/>
        </w:rPr>
        <w:t>bevacizumab</w:t>
      </w:r>
      <w:proofErr w:type="spellEnd"/>
      <w:r w:rsidRPr="00A4154D">
        <w:rPr>
          <w:rFonts w:ascii="Times New Roman" w:hAnsi="Times New Roman" w:cs="Times New Roman"/>
          <w:sz w:val="20"/>
        </w:rPr>
        <w:t xml:space="preserve">, </w:t>
      </w:r>
      <w:r w:rsidRPr="00A4154D">
        <w:rPr>
          <w:rFonts w:ascii="Times New Roman" w:hAnsi="Times New Roman" w:cs="Times New Roman"/>
          <w:i/>
          <w:sz w:val="20"/>
        </w:rPr>
        <w:t>in vitreous</w:t>
      </w:r>
      <w:r w:rsidRPr="00A4154D">
        <w:rPr>
          <w:rFonts w:ascii="Times New Roman" w:hAnsi="Times New Roman" w:cs="Times New Roman"/>
          <w:sz w:val="20"/>
        </w:rPr>
        <w:t xml:space="preserve"> leading to the need for multiple injections that is the main drawback of these treatments. To address this problem administration of controlled drug delivery systems such as particulate carriers have been suggested. Moreover, the </w:t>
      </w:r>
      <w:proofErr w:type="spellStart"/>
      <w:r w:rsidRPr="00A4154D">
        <w:rPr>
          <w:rFonts w:ascii="Times New Roman" w:hAnsi="Times New Roman" w:cs="Times New Roman"/>
          <w:sz w:val="20"/>
        </w:rPr>
        <w:t>thermosensitive</w:t>
      </w:r>
      <w:proofErr w:type="spellEnd"/>
      <w:r w:rsidRPr="00A4154D">
        <w:rPr>
          <w:rFonts w:ascii="Times New Roman" w:hAnsi="Times New Roman" w:cs="Times New Roman"/>
          <w:sz w:val="20"/>
        </w:rPr>
        <w:t xml:space="preserve"> </w:t>
      </w:r>
      <w:r w:rsidRPr="00A4154D">
        <w:rPr>
          <w:rFonts w:ascii="Times New Roman" w:hAnsi="Times New Roman" w:cs="Times New Roman"/>
          <w:i/>
          <w:sz w:val="20"/>
        </w:rPr>
        <w:t>in situ</w:t>
      </w:r>
      <w:r w:rsidRPr="00A4154D">
        <w:rPr>
          <w:rFonts w:ascii="Times New Roman" w:hAnsi="Times New Roman" w:cs="Times New Roman"/>
          <w:sz w:val="20"/>
        </w:rPr>
        <w:t xml:space="preserve"> forming gels are good candidates for sustaining the drug release and can improve the drug- releasing features of nanoparticles. Following to our previous studies, here a novel nano drug delivery system was formulated. Accordingly, </w:t>
      </w:r>
      <w:proofErr w:type="spellStart"/>
      <w:r w:rsidRPr="00A4154D">
        <w:rPr>
          <w:rFonts w:ascii="Times New Roman" w:hAnsi="Times New Roman" w:cs="Times New Roman"/>
          <w:sz w:val="20"/>
        </w:rPr>
        <w:t>bevacizumab</w:t>
      </w:r>
      <w:proofErr w:type="spellEnd"/>
      <w:r w:rsidRPr="00A4154D">
        <w:rPr>
          <w:rFonts w:ascii="Times New Roman" w:hAnsi="Times New Roman" w:cs="Times New Roman"/>
          <w:sz w:val="20"/>
        </w:rPr>
        <w:t xml:space="preserve"> loaded polymeric nanoparticles with the mean particle size of 185 nm were prepared and embedded in the </w:t>
      </w:r>
      <w:proofErr w:type="spellStart"/>
      <w:r w:rsidRPr="00A4154D">
        <w:rPr>
          <w:rFonts w:ascii="Times New Roman" w:hAnsi="Times New Roman" w:cs="Times New Roman"/>
          <w:sz w:val="20"/>
        </w:rPr>
        <w:t>t</w:t>
      </w:r>
      <w:r>
        <w:rPr>
          <w:rFonts w:ascii="Times New Roman" w:hAnsi="Times New Roman" w:cs="Times New Roman"/>
          <w:sz w:val="20"/>
        </w:rPr>
        <w:t>h</w:t>
      </w:r>
      <w:r w:rsidRPr="00A4154D">
        <w:rPr>
          <w:rFonts w:ascii="Times New Roman" w:hAnsi="Times New Roman" w:cs="Times New Roman"/>
          <w:sz w:val="20"/>
        </w:rPr>
        <w:t>ermosensitive</w:t>
      </w:r>
      <w:proofErr w:type="spellEnd"/>
      <w:r w:rsidRPr="00A4154D">
        <w:rPr>
          <w:rFonts w:ascii="Times New Roman" w:hAnsi="Times New Roman" w:cs="Times New Roman"/>
          <w:sz w:val="20"/>
        </w:rPr>
        <w:t xml:space="preserve"> three-block copolymer and the </w:t>
      </w:r>
      <w:r w:rsidRPr="00A4154D">
        <w:rPr>
          <w:rFonts w:ascii="Times New Roman" w:hAnsi="Times New Roman" w:cs="Times New Roman"/>
          <w:i/>
          <w:sz w:val="20"/>
        </w:rPr>
        <w:t>in vitro</w:t>
      </w:r>
      <w:r w:rsidRPr="00A4154D">
        <w:rPr>
          <w:rFonts w:ascii="Times New Roman" w:hAnsi="Times New Roman" w:cs="Times New Roman"/>
          <w:sz w:val="20"/>
        </w:rPr>
        <w:t xml:space="preserve"> characteristics was evaluated. During the </w:t>
      </w:r>
      <w:r w:rsidRPr="00A4154D">
        <w:rPr>
          <w:rFonts w:ascii="Times New Roman" w:hAnsi="Times New Roman" w:cs="Times New Roman"/>
          <w:i/>
          <w:sz w:val="20"/>
        </w:rPr>
        <w:t>in vivo</w:t>
      </w:r>
      <w:r w:rsidRPr="00A4154D">
        <w:rPr>
          <w:rFonts w:ascii="Times New Roman" w:hAnsi="Times New Roman" w:cs="Times New Roman"/>
          <w:sz w:val="20"/>
        </w:rPr>
        <w:t xml:space="preserve"> investigations a single dose of formulation was </w:t>
      </w:r>
      <w:proofErr w:type="spellStart"/>
      <w:r w:rsidRPr="00A4154D">
        <w:rPr>
          <w:rFonts w:ascii="Times New Roman" w:hAnsi="Times New Roman" w:cs="Times New Roman"/>
          <w:sz w:val="20"/>
        </w:rPr>
        <w:t>intravitreally</w:t>
      </w:r>
      <w:proofErr w:type="spellEnd"/>
      <w:r w:rsidRPr="00A4154D">
        <w:rPr>
          <w:rFonts w:ascii="Times New Roman" w:hAnsi="Times New Roman" w:cs="Times New Roman"/>
          <w:sz w:val="20"/>
        </w:rPr>
        <w:t xml:space="preserve"> injected to rabbits. The vitreous concentration of the drug was assayed in different time intervals using ELISA method and intraocular pharmacokinetic parameters were determined. The results revealed around 4 times higher mean residence time of </w:t>
      </w:r>
      <w:proofErr w:type="spellStart"/>
      <w:r w:rsidRPr="00A4154D">
        <w:rPr>
          <w:rFonts w:ascii="Times New Roman" w:hAnsi="Times New Roman" w:cs="Times New Roman"/>
          <w:sz w:val="20"/>
        </w:rPr>
        <w:t>bevacizumab</w:t>
      </w:r>
      <w:proofErr w:type="spellEnd"/>
      <w:r w:rsidRPr="00A4154D">
        <w:rPr>
          <w:rFonts w:ascii="Times New Roman" w:hAnsi="Times New Roman" w:cs="Times New Roman"/>
          <w:sz w:val="20"/>
        </w:rPr>
        <w:t xml:space="preserve"> in rabbit treated by our formulation in comparison to the controls which indicated the promising potentials of designed formulation as a novel ocular drug delivery system.</w:t>
      </w:r>
    </w:p>
    <w:p w:rsidR="00A4154D" w:rsidRPr="00A4154D" w:rsidRDefault="00A4154D" w:rsidP="00A4154D">
      <w:pPr>
        <w:rPr>
          <w:rFonts w:ascii="Times New Roman" w:hAnsi="Times New Roman" w:cs="Times New Roman"/>
          <w:b/>
          <w:sz w:val="24"/>
        </w:rPr>
      </w:pPr>
      <w:r w:rsidRPr="00A4154D">
        <w:rPr>
          <w:rFonts w:ascii="Times New Roman" w:hAnsi="Times New Roman" w:cs="Times New Roman"/>
          <w:b/>
          <w:sz w:val="24"/>
        </w:rPr>
        <w:t>Biography</w:t>
      </w:r>
    </w:p>
    <w:p w:rsidR="008A284F" w:rsidRPr="008A284F" w:rsidRDefault="00A4154D" w:rsidP="00A4154D">
      <w:pPr>
        <w:jc w:val="both"/>
        <w:rPr>
          <w:rFonts w:ascii="Times New Roman" w:hAnsi="Times New Roman" w:cs="Times New Roman"/>
          <w:sz w:val="24"/>
        </w:rPr>
      </w:pPr>
      <w:proofErr w:type="spellStart"/>
      <w:r w:rsidRPr="00A4154D">
        <w:rPr>
          <w:rFonts w:ascii="Times New Roman" w:hAnsi="Times New Roman" w:cs="Times New Roman"/>
          <w:sz w:val="20"/>
        </w:rPr>
        <w:t>Reyhaneh</w:t>
      </w:r>
      <w:proofErr w:type="spellEnd"/>
      <w:r w:rsidRPr="00A4154D">
        <w:rPr>
          <w:rFonts w:ascii="Times New Roman" w:hAnsi="Times New Roman" w:cs="Times New Roman"/>
          <w:sz w:val="20"/>
        </w:rPr>
        <w:t xml:space="preserve"> is an assistant professor in Department of Pharmaceutics and Pharmaceutical Nanotechnology and a highly motivated researcher in the field of </w:t>
      </w:r>
      <w:proofErr w:type="spellStart"/>
      <w:r w:rsidRPr="00A4154D">
        <w:rPr>
          <w:rFonts w:ascii="Times New Roman" w:hAnsi="Times New Roman" w:cs="Times New Roman"/>
          <w:sz w:val="20"/>
        </w:rPr>
        <w:t>nanomedicine</w:t>
      </w:r>
      <w:proofErr w:type="spellEnd"/>
      <w:r w:rsidRPr="00A4154D">
        <w:rPr>
          <w:rFonts w:ascii="Times New Roman" w:hAnsi="Times New Roman" w:cs="Times New Roman"/>
          <w:sz w:val="20"/>
        </w:rPr>
        <w:t xml:space="preserve"> and biomaterials with a 7-year experience of working in Research and Development (R&amp;D) of pharmaceutical industries. Her postdoctoral research was focused on preparation and </w:t>
      </w:r>
      <w:r w:rsidRPr="00A4154D">
        <w:rPr>
          <w:rFonts w:ascii="Times New Roman" w:hAnsi="Times New Roman" w:cs="Times New Roman"/>
          <w:i/>
          <w:sz w:val="20"/>
        </w:rPr>
        <w:t>in vivo</w:t>
      </w:r>
      <w:r w:rsidRPr="00A4154D">
        <w:rPr>
          <w:rFonts w:ascii="Times New Roman" w:hAnsi="Times New Roman" w:cs="Times New Roman"/>
          <w:sz w:val="20"/>
        </w:rPr>
        <w:t xml:space="preserve"> evaluation of novel drug </w:t>
      </w:r>
      <w:r w:rsidRPr="00A4154D">
        <w:rPr>
          <w:rFonts w:ascii="Times New Roman" w:hAnsi="Times New Roman" w:cs="Times New Roman"/>
          <w:sz w:val="20"/>
        </w:rPr>
        <w:t>delivery</w:t>
      </w:r>
      <w:r w:rsidRPr="00A4154D">
        <w:rPr>
          <w:rFonts w:ascii="Times New Roman" w:hAnsi="Times New Roman" w:cs="Times New Roman"/>
          <w:sz w:val="20"/>
        </w:rPr>
        <w:t xml:space="preserve"> system intended for </w:t>
      </w:r>
      <w:r w:rsidRPr="00A4154D">
        <w:rPr>
          <w:rFonts w:ascii="Times New Roman" w:hAnsi="Times New Roman" w:cs="Times New Roman"/>
          <w:sz w:val="20"/>
        </w:rPr>
        <w:t>Age</w:t>
      </w:r>
      <w:r w:rsidRPr="00A4154D">
        <w:rPr>
          <w:rFonts w:ascii="Times New Roman" w:hAnsi="Times New Roman" w:cs="Times New Roman"/>
          <w:sz w:val="20"/>
        </w:rPr>
        <w:t xml:space="preserve">-related </w:t>
      </w:r>
      <w:r w:rsidRPr="00A4154D">
        <w:rPr>
          <w:rFonts w:ascii="Times New Roman" w:hAnsi="Times New Roman" w:cs="Times New Roman"/>
          <w:sz w:val="20"/>
        </w:rPr>
        <w:t xml:space="preserve">Macular Degeneration </w:t>
      </w:r>
      <w:r>
        <w:rPr>
          <w:rFonts w:ascii="Times New Roman" w:hAnsi="Times New Roman" w:cs="Times New Roman"/>
          <w:sz w:val="20"/>
        </w:rPr>
        <w:t>(AMD) treatment</w:t>
      </w:r>
      <w:r w:rsidRPr="00A4154D">
        <w:rPr>
          <w:rFonts w:ascii="Times New Roman" w:hAnsi="Times New Roman" w:cs="Times New Roman"/>
          <w:sz w:val="20"/>
        </w:rPr>
        <w:t xml:space="preserve"> and she has an 8-year background of teaching as a lecturer.</w:t>
      </w:r>
      <w:bookmarkEnd w:id="0"/>
    </w:p>
    <w:sectPr w:rsidR="008A284F" w:rsidRPr="008A284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A284F"/>
    <w:rsid w:val="00474203"/>
    <w:rsid w:val="00535872"/>
    <w:rsid w:val="008A284F"/>
    <w:rsid w:val="00924B33"/>
    <w:rsid w:val="00A415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87018223">
      <w:bodyDiv w:val="1"/>
      <w:marLeft w:val="0"/>
      <w:marRight w:val="0"/>
      <w:marTop w:val="0"/>
      <w:marBottom w:val="0"/>
      <w:divBdr>
        <w:top w:val="none" w:sz="0" w:space="0" w:color="auto"/>
        <w:left w:val="none" w:sz="0" w:space="0" w:color="auto"/>
        <w:bottom w:val="none" w:sz="0" w:space="0" w:color="auto"/>
        <w:right w:val="none" w:sz="0" w:space="0" w:color="auto"/>
      </w:divBdr>
      <w:divsChild>
        <w:div w:id="504327861">
          <w:marLeft w:val="0"/>
          <w:marRight w:val="0"/>
          <w:marTop w:val="0"/>
          <w:marBottom w:val="60"/>
          <w:divBdr>
            <w:top w:val="none" w:sz="0" w:space="0" w:color="auto"/>
            <w:left w:val="none" w:sz="0" w:space="0" w:color="auto"/>
            <w:bottom w:val="none" w:sz="0" w:space="0" w:color="auto"/>
            <w:right w:val="none" w:sz="0" w:space="0" w:color="auto"/>
          </w:divBdr>
          <w:divsChild>
            <w:div w:id="1832789242">
              <w:marLeft w:val="0"/>
              <w:marRight w:val="0"/>
              <w:marTop w:val="0"/>
              <w:marBottom w:val="0"/>
              <w:divBdr>
                <w:top w:val="none" w:sz="0" w:space="0" w:color="auto"/>
                <w:left w:val="none" w:sz="0" w:space="0" w:color="auto"/>
                <w:bottom w:val="none" w:sz="0" w:space="0" w:color="auto"/>
                <w:right w:val="none" w:sz="0" w:space="0" w:color="auto"/>
              </w:divBdr>
              <w:divsChild>
                <w:div w:id="1191458269">
                  <w:marLeft w:val="0"/>
                  <w:marRight w:val="0"/>
                  <w:marTop w:val="0"/>
                  <w:marBottom w:val="0"/>
                  <w:divBdr>
                    <w:top w:val="none" w:sz="0" w:space="0" w:color="auto"/>
                    <w:left w:val="none" w:sz="0" w:space="0" w:color="auto"/>
                    <w:bottom w:val="none" w:sz="0" w:space="0" w:color="auto"/>
                    <w:right w:val="none" w:sz="0" w:space="0" w:color="auto"/>
                  </w:divBdr>
                  <w:divsChild>
                    <w:div w:id="1048341298">
                      <w:marLeft w:val="0"/>
                      <w:marRight w:val="150"/>
                      <w:marTop w:val="30"/>
                      <w:marBottom w:val="0"/>
                      <w:divBdr>
                        <w:top w:val="none" w:sz="0" w:space="0" w:color="auto"/>
                        <w:left w:val="none" w:sz="0" w:space="0" w:color="auto"/>
                        <w:bottom w:val="none" w:sz="0" w:space="0" w:color="auto"/>
                        <w:right w:val="none" w:sz="0" w:space="0" w:color="auto"/>
                      </w:divBdr>
                      <w:divsChild>
                        <w:div w:id="1174611078">
                          <w:marLeft w:val="0"/>
                          <w:marRight w:val="0"/>
                          <w:marTop w:val="0"/>
                          <w:marBottom w:val="0"/>
                          <w:divBdr>
                            <w:top w:val="none" w:sz="0" w:space="0" w:color="auto"/>
                            <w:left w:val="none" w:sz="0" w:space="0" w:color="auto"/>
                            <w:bottom w:val="none" w:sz="0" w:space="0" w:color="auto"/>
                            <w:right w:val="none" w:sz="0" w:space="0" w:color="auto"/>
                          </w:divBdr>
                        </w:div>
                      </w:divsChild>
                    </w:div>
                    <w:div w:id="647515950">
                      <w:marLeft w:val="0"/>
                      <w:marRight w:val="150"/>
                      <w:marTop w:val="30"/>
                      <w:marBottom w:val="0"/>
                      <w:divBdr>
                        <w:top w:val="none" w:sz="0" w:space="0" w:color="auto"/>
                        <w:left w:val="none" w:sz="0" w:space="0" w:color="auto"/>
                        <w:bottom w:val="none" w:sz="0" w:space="0" w:color="auto"/>
                        <w:right w:val="none" w:sz="0" w:space="0" w:color="auto"/>
                      </w:divBdr>
                      <w:divsChild>
                        <w:div w:id="1796635281">
                          <w:marLeft w:val="0"/>
                          <w:marRight w:val="0"/>
                          <w:marTop w:val="0"/>
                          <w:marBottom w:val="0"/>
                          <w:divBdr>
                            <w:top w:val="none" w:sz="0" w:space="0" w:color="auto"/>
                            <w:left w:val="none" w:sz="0" w:space="0" w:color="auto"/>
                            <w:bottom w:val="none" w:sz="0" w:space="0" w:color="auto"/>
                            <w:right w:val="none" w:sz="0" w:space="0" w:color="auto"/>
                          </w:divBdr>
                        </w:div>
                      </w:divsChild>
                    </w:div>
                    <w:div w:id="906188851">
                      <w:marLeft w:val="0"/>
                      <w:marRight w:val="0"/>
                      <w:marTop w:val="0"/>
                      <w:marBottom w:val="0"/>
                      <w:divBdr>
                        <w:top w:val="none" w:sz="0" w:space="0" w:color="auto"/>
                        <w:left w:val="none" w:sz="0" w:space="0" w:color="auto"/>
                        <w:bottom w:val="none" w:sz="0" w:space="0" w:color="auto"/>
                        <w:right w:val="none" w:sz="0" w:space="0" w:color="auto"/>
                      </w:divBdr>
                      <w:divsChild>
                        <w:div w:id="697895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48</TotalTime>
  <Pages>1</Pages>
  <Words>372</Words>
  <Characters>2121</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2022-12-30T09:59:00Z</dcterms:created>
  <dcterms:modified xsi:type="dcterms:W3CDTF">2022-12-30T11:09:00Z</dcterms:modified>
</cp:coreProperties>
</file>