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A4D05">
      <w:pPr>
        <w:rPr>
          <w:rFonts w:ascii="Times New Roman" w:hAnsi="Times New Roman" w:cs="Times New Roman"/>
          <w:b/>
          <w:sz w:val="32"/>
        </w:rPr>
      </w:pPr>
      <w:r w:rsidRPr="00AA4D05">
        <w:rPr>
          <w:rFonts w:ascii="Times New Roman" w:hAnsi="Times New Roman" w:cs="Times New Roman"/>
          <w:b/>
          <w:sz w:val="32"/>
        </w:rPr>
        <w:t xml:space="preserve">Enhancing the </w:t>
      </w:r>
      <w:proofErr w:type="spellStart"/>
      <w:r w:rsidRPr="00AA4D05">
        <w:rPr>
          <w:rFonts w:ascii="Times New Roman" w:hAnsi="Times New Roman" w:cs="Times New Roman"/>
          <w:b/>
          <w:sz w:val="32"/>
        </w:rPr>
        <w:t>neuroprotection</w:t>
      </w:r>
      <w:proofErr w:type="spellEnd"/>
      <w:r w:rsidRPr="00AA4D05">
        <w:rPr>
          <w:rFonts w:ascii="Times New Roman" w:hAnsi="Times New Roman" w:cs="Times New Roman"/>
          <w:b/>
          <w:sz w:val="32"/>
        </w:rPr>
        <w:t xml:space="preserve"> potential of </w:t>
      </w:r>
      <w:proofErr w:type="spellStart"/>
      <w:r w:rsidRPr="00AA4D05">
        <w:rPr>
          <w:rFonts w:ascii="Times New Roman" w:hAnsi="Times New Roman" w:cs="Times New Roman"/>
          <w:b/>
          <w:sz w:val="32"/>
        </w:rPr>
        <w:t>edaravone</w:t>
      </w:r>
      <w:proofErr w:type="spellEnd"/>
      <w:r w:rsidRPr="00AA4D05">
        <w:rPr>
          <w:rFonts w:ascii="Times New Roman" w:hAnsi="Times New Roman" w:cs="Times New Roman"/>
          <w:b/>
          <w:sz w:val="32"/>
        </w:rPr>
        <w:t xml:space="preserve"> in transient global ischemia treatment with glutathione (GSH) conjugated </w:t>
      </w:r>
      <w:r>
        <w:rPr>
          <w:rFonts w:ascii="Times New Roman" w:hAnsi="Times New Roman" w:cs="Times New Roman"/>
          <w:b/>
          <w:sz w:val="32"/>
        </w:rPr>
        <w:t>p</w:t>
      </w:r>
      <w:r w:rsidRPr="00AA4D05">
        <w:rPr>
          <w:rFonts w:ascii="Times New Roman" w:hAnsi="Times New Roman" w:cs="Times New Roman"/>
          <w:b/>
          <w:sz w:val="32"/>
        </w:rPr>
        <w:t>oly (</w:t>
      </w:r>
      <w:proofErr w:type="spellStart"/>
      <w:r w:rsidRPr="00AA4D05">
        <w:rPr>
          <w:rFonts w:ascii="Times New Roman" w:hAnsi="Times New Roman" w:cs="Times New Roman"/>
          <w:b/>
          <w:sz w:val="32"/>
        </w:rPr>
        <w:t>methacrylic</w:t>
      </w:r>
      <w:proofErr w:type="spellEnd"/>
      <w:r w:rsidRPr="00AA4D05">
        <w:rPr>
          <w:rFonts w:ascii="Times New Roman" w:hAnsi="Times New Roman" w:cs="Times New Roman"/>
          <w:b/>
          <w:sz w:val="32"/>
        </w:rPr>
        <w:t xml:space="preserve"> acid) </w:t>
      </w:r>
      <w:proofErr w:type="spellStart"/>
      <w:r w:rsidRPr="00AA4D05">
        <w:rPr>
          <w:rFonts w:ascii="Times New Roman" w:hAnsi="Times New Roman" w:cs="Times New Roman"/>
          <w:b/>
          <w:sz w:val="32"/>
        </w:rPr>
        <w:t>nanogel</w:t>
      </w:r>
      <w:proofErr w:type="spellEnd"/>
      <w:r w:rsidRPr="00AA4D05">
        <w:rPr>
          <w:rFonts w:ascii="Times New Roman" w:hAnsi="Times New Roman" w:cs="Times New Roman"/>
          <w:b/>
          <w:sz w:val="32"/>
        </w:rPr>
        <w:t xml:space="preserve"> as a promising carrier for brain drug delivery</w:t>
      </w:r>
    </w:p>
    <w:p w:rsidR="00AA4D05" w:rsidRDefault="00AA4D05">
      <w:pPr>
        <w:rPr>
          <w:rFonts w:ascii="Times New Roman" w:hAnsi="Times New Roman" w:cs="Times New Roman"/>
          <w:sz w:val="24"/>
        </w:rPr>
      </w:pPr>
      <w:proofErr w:type="spellStart"/>
      <w:r w:rsidRPr="00AA4D05">
        <w:rPr>
          <w:rFonts w:ascii="Times New Roman" w:hAnsi="Times New Roman" w:cs="Times New Roman"/>
          <w:sz w:val="24"/>
        </w:rPr>
        <w:t>Soroush</w:t>
      </w:r>
      <w:proofErr w:type="spellEnd"/>
      <w:r w:rsidRPr="00AA4D05">
        <w:rPr>
          <w:rFonts w:ascii="Times New Roman" w:hAnsi="Times New Roman" w:cs="Times New Roman"/>
          <w:sz w:val="24"/>
        </w:rPr>
        <w:t xml:space="preserve"> </w:t>
      </w:r>
      <w:proofErr w:type="spellStart"/>
      <w:r w:rsidRPr="00AA4D05">
        <w:rPr>
          <w:rFonts w:ascii="Times New Roman" w:hAnsi="Times New Roman" w:cs="Times New Roman"/>
          <w:sz w:val="24"/>
        </w:rPr>
        <w:t>Bijani</w:t>
      </w:r>
      <w:proofErr w:type="spellEnd"/>
      <w:r>
        <w:rPr>
          <w:rFonts w:ascii="Times New Roman" w:hAnsi="Times New Roman" w:cs="Times New Roman"/>
          <w:sz w:val="24"/>
        </w:rPr>
        <w:t xml:space="preserve">* and </w:t>
      </w:r>
      <w:r w:rsidRPr="00AA4D05">
        <w:rPr>
          <w:rFonts w:ascii="Times New Roman" w:hAnsi="Times New Roman" w:cs="Times New Roman"/>
          <w:sz w:val="24"/>
        </w:rPr>
        <w:t xml:space="preserve">Mir-Jamal </w:t>
      </w:r>
      <w:proofErr w:type="spellStart"/>
      <w:r w:rsidRPr="00AA4D05">
        <w:rPr>
          <w:rFonts w:ascii="Times New Roman" w:hAnsi="Times New Roman" w:cs="Times New Roman"/>
          <w:sz w:val="24"/>
        </w:rPr>
        <w:t>Hosseini</w:t>
      </w:r>
      <w:proofErr w:type="spellEnd"/>
    </w:p>
    <w:p w:rsidR="00AA4D05" w:rsidRPr="00AA4D05" w:rsidRDefault="00AA4D05">
      <w:pPr>
        <w:rPr>
          <w:rFonts w:ascii="Times New Roman" w:hAnsi="Times New Roman" w:cs="Times New Roman"/>
        </w:rPr>
      </w:pPr>
      <w:proofErr w:type="spellStart"/>
      <w:r w:rsidRPr="00AA4D05">
        <w:rPr>
          <w:rFonts w:ascii="Times New Roman" w:hAnsi="Times New Roman" w:cs="Times New Roman"/>
        </w:rPr>
        <w:t>Zanjan</w:t>
      </w:r>
      <w:proofErr w:type="spellEnd"/>
      <w:r w:rsidRPr="00AA4D05">
        <w:rPr>
          <w:rFonts w:ascii="Times New Roman" w:hAnsi="Times New Roman" w:cs="Times New Roman"/>
        </w:rPr>
        <w:t xml:space="preserve"> University of Medical Sciences, Iran</w:t>
      </w:r>
    </w:p>
    <w:p w:rsidR="00AA4D05" w:rsidRPr="00AA4D05" w:rsidRDefault="00AA4D05" w:rsidP="00AA4D05">
      <w:pPr>
        <w:jc w:val="center"/>
        <w:rPr>
          <w:rFonts w:ascii="Times New Roman" w:hAnsi="Times New Roman" w:cs="Times New Roman"/>
          <w:b/>
          <w:sz w:val="24"/>
        </w:rPr>
      </w:pPr>
      <w:r w:rsidRPr="00AA4D05">
        <w:rPr>
          <w:rFonts w:ascii="Times New Roman" w:hAnsi="Times New Roman" w:cs="Times New Roman"/>
          <w:b/>
          <w:sz w:val="24"/>
        </w:rPr>
        <w:t>Abstract</w:t>
      </w:r>
    </w:p>
    <w:p w:rsidR="00AA4D05" w:rsidRPr="00AA4D05" w:rsidRDefault="00AA4D05" w:rsidP="00AA4D05">
      <w:pPr>
        <w:jc w:val="both"/>
        <w:rPr>
          <w:rFonts w:ascii="Times New Roman" w:hAnsi="Times New Roman" w:cs="Times New Roman"/>
          <w:sz w:val="20"/>
        </w:rPr>
      </w:pPr>
      <w:r w:rsidRPr="00AA4D05">
        <w:rPr>
          <w:rFonts w:ascii="Times New Roman" w:hAnsi="Times New Roman" w:cs="Times New Roman"/>
          <w:b/>
          <w:sz w:val="20"/>
        </w:rPr>
        <w:t xml:space="preserve">Statement of the </w:t>
      </w:r>
      <w:r w:rsidRPr="00AA4D05">
        <w:rPr>
          <w:rFonts w:ascii="Times New Roman" w:hAnsi="Times New Roman" w:cs="Times New Roman"/>
          <w:b/>
          <w:sz w:val="20"/>
        </w:rPr>
        <w:t>problem</w:t>
      </w:r>
      <w:r w:rsidRPr="00AA4D05">
        <w:rPr>
          <w:rFonts w:ascii="Times New Roman" w:hAnsi="Times New Roman" w:cs="Times New Roman"/>
          <w:b/>
          <w:sz w:val="20"/>
        </w:rPr>
        <w:t>:</w:t>
      </w:r>
      <w:r w:rsidRPr="00AA4D05">
        <w:rPr>
          <w:rFonts w:ascii="Times New Roman" w:hAnsi="Times New Roman" w:cs="Times New Roman"/>
          <w:sz w:val="20"/>
        </w:rPr>
        <w:t xml:space="preserve"> Ischemic stroke is the most common among various stroke types and the second leading cause of death worldwide. It suggested that oxidative stress is the main mechanisms associated with ischemic stroke pathophysiology. </w:t>
      </w:r>
      <w:proofErr w:type="spellStart"/>
      <w:r w:rsidRPr="00AA4D05">
        <w:rPr>
          <w:rFonts w:ascii="Times New Roman" w:hAnsi="Times New Roman" w:cs="Times New Roman"/>
          <w:sz w:val="20"/>
        </w:rPr>
        <w:t>Edaravone</w:t>
      </w:r>
      <w:proofErr w:type="spellEnd"/>
      <w:r w:rsidRPr="00AA4D05">
        <w:rPr>
          <w:rFonts w:ascii="Times New Roman" w:hAnsi="Times New Roman" w:cs="Times New Roman"/>
          <w:sz w:val="20"/>
        </w:rPr>
        <w:t xml:space="preserve"> (EDV) is one of the cardinal antioxidants that is capable of scavenging oxygen species free radicals specially hydroxyl molecule. Low water solubility, stability and bioavailability in aqueous medium are major EDV drawbacks. Decorating </w:t>
      </w:r>
      <w:proofErr w:type="spellStart"/>
      <w:r w:rsidRPr="00AA4D05">
        <w:rPr>
          <w:rFonts w:ascii="Times New Roman" w:hAnsi="Times New Roman" w:cs="Times New Roman"/>
          <w:sz w:val="20"/>
        </w:rPr>
        <w:t>nanogel</w:t>
      </w:r>
      <w:proofErr w:type="spellEnd"/>
      <w:r w:rsidRPr="00AA4D05">
        <w:rPr>
          <w:rFonts w:ascii="Times New Roman" w:hAnsi="Times New Roman" w:cs="Times New Roman"/>
          <w:sz w:val="20"/>
        </w:rPr>
        <w:t xml:space="preserve"> surface with glutathione to target brain tissue was performed to optimize drug delivery. </w:t>
      </w:r>
    </w:p>
    <w:p w:rsidR="00AA4D05" w:rsidRPr="00AA4D05" w:rsidRDefault="00AA4D05" w:rsidP="00AA4D05">
      <w:pPr>
        <w:jc w:val="both"/>
        <w:rPr>
          <w:rFonts w:ascii="Times New Roman" w:hAnsi="Times New Roman" w:cs="Times New Roman"/>
          <w:sz w:val="20"/>
        </w:rPr>
      </w:pPr>
      <w:r w:rsidRPr="00AA4D05">
        <w:rPr>
          <w:rFonts w:ascii="Times New Roman" w:hAnsi="Times New Roman" w:cs="Times New Roman"/>
          <w:b/>
          <w:sz w:val="20"/>
        </w:rPr>
        <w:t xml:space="preserve">Methodology &amp; </w:t>
      </w:r>
      <w:r w:rsidRPr="00AA4D05">
        <w:rPr>
          <w:rFonts w:ascii="Times New Roman" w:hAnsi="Times New Roman" w:cs="Times New Roman"/>
          <w:b/>
          <w:sz w:val="20"/>
        </w:rPr>
        <w:t>theoretical orientation</w:t>
      </w:r>
      <w:r w:rsidRPr="00AA4D05">
        <w:rPr>
          <w:rFonts w:ascii="Times New Roman" w:hAnsi="Times New Roman" w:cs="Times New Roman"/>
          <w:b/>
          <w:sz w:val="20"/>
        </w:rPr>
        <w:t>:</w:t>
      </w:r>
      <w:r w:rsidRPr="00AA4D05">
        <w:rPr>
          <w:rFonts w:ascii="Times New Roman" w:hAnsi="Times New Roman" w:cs="Times New Roman"/>
          <w:sz w:val="20"/>
        </w:rPr>
        <w:t xml:space="preserve"> Nano vehicle characterization was assessed with FT-IR and HNMR. </w:t>
      </w:r>
      <w:r w:rsidRPr="00AA4D05">
        <w:rPr>
          <w:rFonts w:ascii="Times New Roman" w:hAnsi="Times New Roman" w:cs="Times New Roman"/>
          <w:sz w:val="20"/>
        </w:rPr>
        <w:t>Images from the surface of nano vehicle were</w:t>
      </w:r>
      <w:r w:rsidRPr="00AA4D05">
        <w:rPr>
          <w:rFonts w:ascii="Times New Roman" w:hAnsi="Times New Roman" w:cs="Times New Roman"/>
          <w:sz w:val="20"/>
        </w:rPr>
        <w:t xml:space="preserve"> captured by AFM and TEM instruments</w:t>
      </w:r>
      <w:r>
        <w:rPr>
          <w:rFonts w:ascii="Times New Roman" w:hAnsi="Times New Roman" w:cs="Times New Roman"/>
          <w:sz w:val="20"/>
        </w:rPr>
        <w:t xml:space="preserve"> [Figure 1]</w:t>
      </w:r>
      <w:r w:rsidRPr="00AA4D05">
        <w:rPr>
          <w:rFonts w:ascii="Times New Roman" w:hAnsi="Times New Roman" w:cs="Times New Roman"/>
          <w:sz w:val="20"/>
        </w:rPr>
        <w:t xml:space="preserve">. After development of </w:t>
      </w:r>
      <w:proofErr w:type="spellStart"/>
      <w:r w:rsidRPr="00AA4D05">
        <w:rPr>
          <w:rFonts w:ascii="Times New Roman" w:hAnsi="Times New Roman" w:cs="Times New Roman"/>
          <w:sz w:val="20"/>
        </w:rPr>
        <w:t>mPEG</w:t>
      </w:r>
      <w:proofErr w:type="spellEnd"/>
      <w:r w:rsidRPr="00AA4D05">
        <w:rPr>
          <w:rFonts w:ascii="Times New Roman" w:hAnsi="Times New Roman" w:cs="Times New Roman"/>
          <w:sz w:val="20"/>
        </w:rPr>
        <w:t xml:space="preserve">-b-PLGA EDV nano particles their effect on biochemical factors including </w:t>
      </w:r>
      <w:proofErr w:type="spellStart"/>
      <w:r w:rsidRPr="00AA4D05">
        <w:rPr>
          <w:rFonts w:ascii="Times New Roman" w:hAnsi="Times New Roman" w:cs="Times New Roman"/>
          <w:sz w:val="20"/>
        </w:rPr>
        <w:t>malondialdehyde</w:t>
      </w:r>
      <w:proofErr w:type="spellEnd"/>
      <w:r w:rsidRPr="00AA4D05">
        <w:rPr>
          <w:rFonts w:ascii="Times New Roman" w:hAnsi="Times New Roman" w:cs="Times New Roman"/>
          <w:sz w:val="20"/>
        </w:rPr>
        <w:t xml:space="preserve">, protein carbonyl level was measured on </w:t>
      </w:r>
      <w:proofErr w:type="spellStart"/>
      <w:r w:rsidRPr="00AA4D05">
        <w:rPr>
          <w:rFonts w:ascii="Times New Roman" w:hAnsi="Times New Roman" w:cs="Times New Roman"/>
          <w:sz w:val="20"/>
        </w:rPr>
        <w:t>Wistar</w:t>
      </w:r>
      <w:proofErr w:type="spellEnd"/>
      <w:r w:rsidRPr="00AA4D05">
        <w:rPr>
          <w:rFonts w:ascii="Times New Roman" w:hAnsi="Times New Roman" w:cs="Times New Roman"/>
          <w:sz w:val="20"/>
        </w:rPr>
        <w:t xml:space="preserve"> rats under global ischemia. In addition, the amount of reduced Glutathione and total cellular antioxidant were also measured. </w:t>
      </w:r>
    </w:p>
    <w:p w:rsidR="00AA4D05" w:rsidRPr="00AA4D05" w:rsidRDefault="00AA4D05" w:rsidP="00AA4D05">
      <w:pPr>
        <w:jc w:val="both"/>
        <w:rPr>
          <w:rFonts w:ascii="Times New Roman" w:hAnsi="Times New Roman" w:cs="Times New Roman"/>
          <w:sz w:val="20"/>
        </w:rPr>
      </w:pPr>
      <w:r w:rsidRPr="00AA4D05">
        <w:rPr>
          <w:rFonts w:ascii="Times New Roman" w:hAnsi="Times New Roman" w:cs="Times New Roman"/>
          <w:b/>
          <w:sz w:val="20"/>
        </w:rPr>
        <w:t>Findings:</w:t>
      </w:r>
      <w:r w:rsidRPr="00AA4D05">
        <w:rPr>
          <w:rFonts w:ascii="Times New Roman" w:hAnsi="Times New Roman" w:cs="Times New Roman"/>
          <w:sz w:val="20"/>
        </w:rPr>
        <w:t xml:space="preserve"> The Size (199 nm, hydrodynamic diameter) and zeta potential (-25 mV) of optimum formulation was assessed and the calibration curve in deionized water was created at 244 nm. Encapsulation Efficiency and drug loading were determined to be 37.45 % and 99.88% respectively. </w:t>
      </w:r>
      <w:r w:rsidRPr="00AA4D05">
        <w:rPr>
          <w:rFonts w:ascii="Times New Roman" w:hAnsi="Times New Roman" w:cs="Times New Roman"/>
          <w:i/>
          <w:sz w:val="20"/>
        </w:rPr>
        <w:t>In vitro</w:t>
      </w:r>
      <w:r w:rsidRPr="00AA4D05">
        <w:rPr>
          <w:rFonts w:ascii="Times New Roman" w:hAnsi="Times New Roman" w:cs="Times New Roman"/>
          <w:sz w:val="20"/>
        </w:rPr>
        <w:t xml:space="preserve"> drug release profile depicted a sustained release process. EDV and glutathione presence in one vehicle simultaneously, made the possibility of antioxidant and anti-apoptotic application to the brain in specific doses which resulted in elevated spatial memory and learning along with cognitive </w:t>
      </w:r>
      <w:r w:rsidRPr="00AA4D05">
        <w:rPr>
          <w:rFonts w:ascii="Times New Roman" w:hAnsi="Times New Roman" w:cs="Times New Roman"/>
          <w:sz w:val="20"/>
        </w:rPr>
        <w:t>functions</w:t>
      </w:r>
      <w:r w:rsidRPr="00AA4D05">
        <w:rPr>
          <w:rFonts w:ascii="Times New Roman" w:hAnsi="Times New Roman" w:cs="Times New Roman"/>
          <w:sz w:val="20"/>
        </w:rPr>
        <w:t xml:space="preserve"> in </w:t>
      </w:r>
      <w:proofErr w:type="spellStart"/>
      <w:r w:rsidRPr="00AA4D05">
        <w:rPr>
          <w:rFonts w:ascii="Times New Roman" w:hAnsi="Times New Roman" w:cs="Times New Roman"/>
          <w:sz w:val="20"/>
        </w:rPr>
        <w:t>Wistar</w:t>
      </w:r>
      <w:proofErr w:type="spellEnd"/>
      <w:r w:rsidRPr="00AA4D05">
        <w:rPr>
          <w:rFonts w:ascii="Times New Roman" w:hAnsi="Times New Roman" w:cs="Times New Roman"/>
          <w:sz w:val="20"/>
        </w:rPr>
        <w:t xml:space="preserve"> rats. In addition, significantly lower MDA and PCO as the byproducts of ROS</w:t>
      </w:r>
      <w:r>
        <w:rPr>
          <w:rFonts w:ascii="Times New Roman" w:hAnsi="Times New Roman" w:cs="Times New Roman"/>
          <w:sz w:val="20"/>
        </w:rPr>
        <w:t xml:space="preserve"> and</w:t>
      </w:r>
      <w:r w:rsidRPr="00AA4D05">
        <w:rPr>
          <w:rFonts w:ascii="Times New Roman" w:hAnsi="Times New Roman" w:cs="Times New Roman"/>
          <w:sz w:val="20"/>
        </w:rPr>
        <w:t xml:space="preserve"> higher level of neural GSH and total antioxidant level were observed.</w:t>
      </w:r>
      <w:r>
        <w:rPr>
          <w:rFonts w:ascii="Times New Roman" w:hAnsi="Times New Roman" w:cs="Times New Roman"/>
          <w:sz w:val="20"/>
        </w:rPr>
        <w:t xml:space="preserve"> </w:t>
      </w:r>
    </w:p>
    <w:p w:rsidR="00AA4D05" w:rsidRDefault="00AA4D05" w:rsidP="00AA4D05">
      <w:pPr>
        <w:jc w:val="both"/>
        <w:rPr>
          <w:rFonts w:ascii="Times New Roman" w:hAnsi="Times New Roman" w:cs="Times New Roman"/>
          <w:sz w:val="20"/>
        </w:rPr>
      </w:pPr>
      <w:r w:rsidRPr="00AA4D05">
        <w:rPr>
          <w:rFonts w:ascii="Times New Roman" w:hAnsi="Times New Roman" w:cs="Times New Roman"/>
          <w:b/>
          <w:sz w:val="20"/>
        </w:rPr>
        <w:t>Conclusion:</w:t>
      </w:r>
      <w:r w:rsidRPr="00AA4D05">
        <w:rPr>
          <w:rFonts w:ascii="Times New Roman" w:hAnsi="Times New Roman" w:cs="Times New Roman"/>
          <w:sz w:val="20"/>
        </w:rPr>
        <w:t xml:space="preserve"> The developed </w:t>
      </w:r>
      <w:proofErr w:type="spellStart"/>
      <w:r w:rsidRPr="00AA4D05">
        <w:rPr>
          <w:rFonts w:ascii="Times New Roman" w:hAnsi="Times New Roman" w:cs="Times New Roman"/>
          <w:sz w:val="20"/>
        </w:rPr>
        <w:t>mPEG</w:t>
      </w:r>
      <w:proofErr w:type="spellEnd"/>
      <w:r w:rsidRPr="00AA4D05">
        <w:rPr>
          <w:rFonts w:ascii="Times New Roman" w:hAnsi="Times New Roman" w:cs="Times New Roman"/>
          <w:sz w:val="20"/>
        </w:rPr>
        <w:t xml:space="preserve">-b-PLGA EDV </w:t>
      </w:r>
      <w:proofErr w:type="spellStart"/>
      <w:r w:rsidRPr="00AA4D05">
        <w:rPr>
          <w:rFonts w:ascii="Times New Roman" w:hAnsi="Times New Roman" w:cs="Times New Roman"/>
          <w:sz w:val="20"/>
        </w:rPr>
        <w:t>nanogel</w:t>
      </w:r>
      <w:proofErr w:type="spellEnd"/>
      <w:r w:rsidRPr="00AA4D05">
        <w:rPr>
          <w:rFonts w:ascii="Times New Roman" w:hAnsi="Times New Roman" w:cs="Times New Roman"/>
          <w:sz w:val="20"/>
        </w:rPr>
        <w:t xml:space="preserve"> can be a suited vehicle for brain drug delivery of EDV to the brain, while managing to minimize the biochemical and pathophysiological alterations in ischemic-like disorder.</w:t>
      </w:r>
    </w:p>
    <w:p w:rsidR="00AA4D05" w:rsidRDefault="00AA4D05" w:rsidP="00AA4D0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3157825">
            <wp:extent cx="3260034"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1360" cy="1646589"/>
                    </a:xfrm>
                    <a:prstGeom prst="rect">
                      <a:avLst/>
                    </a:prstGeom>
                    <a:noFill/>
                  </pic:spPr>
                </pic:pic>
              </a:graphicData>
            </a:graphic>
          </wp:inline>
        </w:drawing>
      </w:r>
    </w:p>
    <w:p w:rsidR="00AA4D05" w:rsidRPr="00AA4D05" w:rsidRDefault="00AA4D05" w:rsidP="00AA4D05">
      <w:pPr>
        <w:jc w:val="center"/>
        <w:rPr>
          <w:rFonts w:ascii="Times New Roman" w:hAnsi="Times New Roman" w:cs="Times New Roman"/>
          <w:i/>
          <w:sz w:val="18"/>
        </w:rPr>
      </w:pPr>
      <w:proofErr w:type="gramStart"/>
      <w:r w:rsidRPr="00AA4D05">
        <w:rPr>
          <w:rFonts w:ascii="Times New Roman" w:hAnsi="Times New Roman" w:cs="Times New Roman"/>
          <w:b/>
          <w:i/>
          <w:sz w:val="18"/>
        </w:rPr>
        <w:t>Figure 1.</w:t>
      </w:r>
      <w:proofErr w:type="gramEnd"/>
      <w:r w:rsidRPr="00AA4D05">
        <w:rPr>
          <w:rFonts w:ascii="Times New Roman" w:hAnsi="Times New Roman" w:cs="Times New Roman"/>
          <w:i/>
          <w:sz w:val="18"/>
        </w:rPr>
        <w:t xml:space="preserve"> </w:t>
      </w:r>
      <w:proofErr w:type="gramStart"/>
      <w:r w:rsidRPr="00AA4D05">
        <w:rPr>
          <w:rFonts w:ascii="Times New Roman" w:hAnsi="Times New Roman" w:cs="Times New Roman"/>
          <w:i/>
          <w:sz w:val="18"/>
        </w:rPr>
        <w:t>AFM image and morphology of GSH-PMAA.</w:t>
      </w:r>
      <w:proofErr w:type="gramEnd"/>
    </w:p>
    <w:p w:rsidR="00AA4D05" w:rsidRPr="00AA4D05" w:rsidRDefault="00AA4D05" w:rsidP="00AA4D05">
      <w:pPr>
        <w:rPr>
          <w:rFonts w:ascii="Times New Roman" w:hAnsi="Times New Roman" w:cs="Times New Roman"/>
          <w:b/>
          <w:sz w:val="24"/>
        </w:rPr>
      </w:pPr>
      <w:r w:rsidRPr="00AA4D05">
        <w:rPr>
          <w:rFonts w:ascii="Times New Roman" w:hAnsi="Times New Roman" w:cs="Times New Roman"/>
          <w:b/>
          <w:sz w:val="24"/>
        </w:rPr>
        <w:lastRenderedPageBreak/>
        <w:t>Biography</w:t>
      </w:r>
    </w:p>
    <w:p w:rsidR="00AA4D05" w:rsidRPr="00AA4D05" w:rsidRDefault="00AA4D05" w:rsidP="00AA4D05">
      <w:pPr>
        <w:jc w:val="both"/>
        <w:rPr>
          <w:rFonts w:ascii="Times New Roman" w:hAnsi="Times New Roman" w:cs="Times New Roman"/>
          <w:sz w:val="20"/>
        </w:rPr>
      </w:pPr>
      <w:proofErr w:type="spellStart"/>
      <w:r w:rsidRPr="00AA4D05">
        <w:rPr>
          <w:rFonts w:ascii="Times New Roman" w:hAnsi="Times New Roman" w:cs="Times New Roman"/>
          <w:sz w:val="20"/>
        </w:rPr>
        <w:t>Soroush</w:t>
      </w:r>
      <w:proofErr w:type="spellEnd"/>
      <w:r w:rsidRPr="00AA4D05">
        <w:rPr>
          <w:rFonts w:ascii="Times New Roman" w:hAnsi="Times New Roman" w:cs="Times New Roman"/>
          <w:sz w:val="20"/>
        </w:rPr>
        <w:t xml:space="preserve"> </w:t>
      </w:r>
      <w:proofErr w:type="spellStart"/>
      <w:r w:rsidRPr="00AA4D05">
        <w:rPr>
          <w:rFonts w:ascii="Times New Roman" w:hAnsi="Times New Roman" w:cs="Times New Roman"/>
          <w:sz w:val="20"/>
        </w:rPr>
        <w:t>Bijani</w:t>
      </w:r>
      <w:proofErr w:type="spellEnd"/>
      <w:r w:rsidRPr="00AA4D05">
        <w:rPr>
          <w:rFonts w:ascii="Times New Roman" w:hAnsi="Times New Roman" w:cs="Times New Roman"/>
          <w:sz w:val="20"/>
        </w:rPr>
        <w:t xml:space="preserve"> has completed his </w:t>
      </w:r>
      <w:proofErr w:type="spellStart"/>
      <w:r w:rsidRPr="00AA4D05">
        <w:rPr>
          <w:rFonts w:ascii="Times New Roman" w:hAnsi="Times New Roman" w:cs="Times New Roman"/>
          <w:sz w:val="20"/>
        </w:rPr>
        <w:t>Pharm.D</w:t>
      </w:r>
      <w:proofErr w:type="spellEnd"/>
      <w:r w:rsidRPr="00AA4D05">
        <w:rPr>
          <w:rFonts w:ascii="Times New Roman" w:hAnsi="Times New Roman" w:cs="Times New Roman"/>
          <w:sz w:val="20"/>
        </w:rPr>
        <w:t xml:space="preserve"> at the age of 24 years from </w:t>
      </w:r>
      <w:proofErr w:type="spellStart"/>
      <w:r w:rsidRPr="00AA4D05">
        <w:rPr>
          <w:rFonts w:ascii="Times New Roman" w:hAnsi="Times New Roman" w:cs="Times New Roman"/>
          <w:sz w:val="20"/>
        </w:rPr>
        <w:t>Zanjan</w:t>
      </w:r>
      <w:proofErr w:type="spellEnd"/>
      <w:r w:rsidRPr="00AA4D05">
        <w:rPr>
          <w:rFonts w:ascii="Times New Roman" w:hAnsi="Times New Roman" w:cs="Times New Roman"/>
          <w:sz w:val="20"/>
        </w:rPr>
        <w:t xml:space="preserve"> University of Medical Sciences. Aside of serving as a community pharmacist, he is a teacher assistant and a member of </w:t>
      </w:r>
      <w:proofErr w:type="spellStart"/>
      <w:r w:rsidRPr="00AA4D05">
        <w:rPr>
          <w:rFonts w:ascii="Times New Roman" w:hAnsi="Times New Roman" w:cs="Times New Roman"/>
          <w:sz w:val="20"/>
        </w:rPr>
        <w:t>Zanjan</w:t>
      </w:r>
      <w:proofErr w:type="spellEnd"/>
      <w:r w:rsidRPr="00AA4D05">
        <w:rPr>
          <w:rFonts w:ascii="Times New Roman" w:hAnsi="Times New Roman" w:cs="Times New Roman"/>
          <w:sz w:val="20"/>
        </w:rPr>
        <w:t xml:space="preserve"> Applied Pharmacology Research Center. H</w:t>
      </w:r>
      <w:bookmarkStart w:id="0" w:name="_GoBack"/>
      <w:bookmarkEnd w:id="0"/>
      <w:r w:rsidRPr="00AA4D05">
        <w:rPr>
          <w:rFonts w:ascii="Times New Roman" w:hAnsi="Times New Roman" w:cs="Times New Roman"/>
          <w:sz w:val="20"/>
        </w:rPr>
        <w:t>e has published more than 12 papers in reputed journals and has been serving as a reviewer of journals in the field of neurosciences.</w:t>
      </w:r>
    </w:p>
    <w:sectPr w:rsidR="00AA4D05" w:rsidRPr="00AA4D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D05"/>
    <w:rsid w:val="00474203"/>
    <w:rsid w:val="00535872"/>
    <w:rsid w:val="00924B33"/>
    <w:rsid w:val="00AA4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D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D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D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D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2023-02-01T13:08:00Z</dcterms:created>
  <dcterms:modified xsi:type="dcterms:W3CDTF">2023-02-01T13:18:00Z</dcterms:modified>
</cp:coreProperties>
</file>