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07D21">
      <w:pPr>
        <w:rPr>
          <w:rFonts w:ascii="Times New Roman" w:hAnsi="Times New Roman" w:cs="Times New Roman"/>
          <w:b/>
          <w:sz w:val="32"/>
        </w:rPr>
      </w:pPr>
      <w:bookmarkStart w:id="0" w:name="_GoBack"/>
      <w:r w:rsidRPr="00C07D21">
        <w:rPr>
          <w:rFonts w:ascii="Times New Roman" w:hAnsi="Times New Roman" w:cs="Times New Roman"/>
          <w:b/>
          <w:sz w:val="32"/>
        </w:rPr>
        <w:t>Bioavailability assessment of metformin hydrochloride rectal suppositories in human volunteers</w:t>
      </w:r>
    </w:p>
    <w:p w:rsidR="00C07D21" w:rsidRDefault="00C07D21">
      <w:pPr>
        <w:rPr>
          <w:rFonts w:ascii="Times New Roman" w:hAnsi="Times New Roman" w:cs="Times New Roman"/>
          <w:sz w:val="24"/>
        </w:rPr>
      </w:pPr>
      <w:proofErr w:type="spellStart"/>
      <w:r w:rsidRPr="00C07D21">
        <w:rPr>
          <w:rFonts w:ascii="Times New Roman" w:hAnsi="Times New Roman" w:cs="Times New Roman"/>
          <w:sz w:val="24"/>
        </w:rPr>
        <w:t>Abdelazim</w:t>
      </w:r>
      <w:proofErr w:type="spellEnd"/>
      <w:r w:rsidRPr="00C07D21">
        <w:rPr>
          <w:rFonts w:ascii="Times New Roman" w:hAnsi="Times New Roman" w:cs="Times New Roman"/>
          <w:sz w:val="24"/>
        </w:rPr>
        <w:t xml:space="preserve"> </w:t>
      </w:r>
      <w:proofErr w:type="spellStart"/>
      <w:r w:rsidRPr="00C07D21">
        <w:rPr>
          <w:rFonts w:ascii="Times New Roman" w:hAnsi="Times New Roman" w:cs="Times New Roman"/>
          <w:sz w:val="24"/>
        </w:rPr>
        <w:t>Zaghloul</w:t>
      </w:r>
      <w:proofErr w:type="spellEnd"/>
    </w:p>
    <w:p w:rsidR="00C07D21" w:rsidRPr="00C07D21" w:rsidRDefault="00C07D21">
      <w:pPr>
        <w:rPr>
          <w:rFonts w:ascii="Times New Roman" w:hAnsi="Times New Roman" w:cs="Times New Roman"/>
        </w:rPr>
      </w:pPr>
      <w:r w:rsidRPr="00C07D21">
        <w:rPr>
          <w:rFonts w:ascii="Times New Roman" w:hAnsi="Times New Roman" w:cs="Times New Roman"/>
        </w:rPr>
        <w:t>Kuwait University, Kuwait</w:t>
      </w:r>
    </w:p>
    <w:p w:rsidR="00C07D21" w:rsidRPr="00C07D21" w:rsidRDefault="00C07D21" w:rsidP="00C07D21">
      <w:pPr>
        <w:jc w:val="center"/>
        <w:rPr>
          <w:rFonts w:ascii="Times New Roman" w:hAnsi="Times New Roman" w:cs="Times New Roman"/>
          <w:b/>
          <w:sz w:val="24"/>
        </w:rPr>
      </w:pPr>
      <w:r w:rsidRPr="00C07D21">
        <w:rPr>
          <w:rFonts w:ascii="Times New Roman" w:hAnsi="Times New Roman" w:cs="Times New Roman"/>
          <w:b/>
          <w:sz w:val="24"/>
        </w:rPr>
        <w:t>Abstract</w:t>
      </w:r>
    </w:p>
    <w:p w:rsidR="00C07D21" w:rsidRPr="00C07D21" w:rsidRDefault="00C07D21" w:rsidP="00C07D21">
      <w:pPr>
        <w:jc w:val="both"/>
        <w:rPr>
          <w:rFonts w:ascii="Times New Roman" w:hAnsi="Times New Roman" w:cs="Times New Roman"/>
          <w:sz w:val="20"/>
        </w:rPr>
      </w:pPr>
      <w:r w:rsidRPr="00C07D21">
        <w:rPr>
          <w:rFonts w:ascii="Times New Roman" w:hAnsi="Times New Roman" w:cs="Times New Roman"/>
          <w:b/>
          <w:sz w:val="20"/>
        </w:rPr>
        <w:t>Objectives:</w:t>
      </w:r>
      <w:r w:rsidRPr="00C07D21">
        <w:rPr>
          <w:rFonts w:ascii="Times New Roman" w:hAnsi="Times New Roman" w:cs="Times New Roman"/>
          <w:sz w:val="20"/>
        </w:rPr>
        <w:t xml:space="preserve"> Metformin </w:t>
      </w:r>
      <w:r w:rsidRPr="00C07D21">
        <w:rPr>
          <w:rFonts w:ascii="Times New Roman" w:hAnsi="Times New Roman" w:cs="Times New Roman"/>
          <w:sz w:val="20"/>
        </w:rPr>
        <w:t xml:space="preserve">Hydrochloride </w:t>
      </w:r>
      <w:r w:rsidRPr="00C07D21">
        <w:rPr>
          <w:rFonts w:ascii="Times New Roman" w:hAnsi="Times New Roman" w:cs="Times New Roman"/>
          <w:sz w:val="20"/>
        </w:rPr>
        <w:t>(</w:t>
      </w:r>
      <w:proofErr w:type="spellStart"/>
      <w:r w:rsidRPr="00C07D21">
        <w:rPr>
          <w:rFonts w:ascii="Times New Roman" w:hAnsi="Times New Roman" w:cs="Times New Roman"/>
          <w:sz w:val="20"/>
        </w:rPr>
        <w:t>MtHCL</w:t>
      </w:r>
      <w:proofErr w:type="spellEnd"/>
      <w:r w:rsidRPr="00C07D21">
        <w:rPr>
          <w:rFonts w:ascii="Times New Roman" w:hAnsi="Times New Roman" w:cs="Times New Roman"/>
          <w:sz w:val="20"/>
        </w:rPr>
        <w:t xml:space="preserve">) is an oral antidiabetic drug and has many other therapeutic benefits. It has poor bioavailability, narrow absorption window and extensive liver metabolism. The objectives of this work were to prepare </w:t>
      </w:r>
      <w:proofErr w:type="spellStart"/>
      <w:r w:rsidRPr="00C07D21">
        <w:rPr>
          <w:rFonts w:ascii="Times New Roman" w:hAnsi="Times New Roman" w:cs="Times New Roman"/>
          <w:sz w:val="20"/>
        </w:rPr>
        <w:t>MtHC</w:t>
      </w:r>
      <w:proofErr w:type="spellEnd"/>
      <w:r w:rsidRPr="00C07D21">
        <w:rPr>
          <w:rFonts w:ascii="Times New Roman" w:hAnsi="Times New Roman" w:cs="Times New Roman"/>
          <w:sz w:val="20"/>
        </w:rPr>
        <w:t xml:space="preserve"> rectal suppository formulations and evaluation the bioavailability of the optimized formulatio</w:t>
      </w:r>
      <w:r w:rsidRPr="00C07D21">
        <w:rPr>
          <w:rFonts w:ascii="Times New Roman" w:hAnsi="Times New Roman" w:cs="Times New Roman"/>
          <w:sz w:val="20"/>
        </w:rPr>
        <w:t xml:space="preserve">ns in health human volunteers. </w:t>
      </w:r>
    </w:p>
    <w:p w:rsidR="00C07D21" w:rsidRPr="00C07D21" w:rsidRDefault="00C07D21" w:rsidP="00C07D21">
      <w:pPr>
        <w:jc w:val="both"/>
        <w:rPr>
          <w:rFonts w:ascii="Times New Roman" w:hAnsi="Times New Roman" w:cs="Times New Roman"/>
          <w:sz w:val="20"/>
        </w:rPr>
      </w:pPr>
      <w:r w:rsidRPr="00C07D21">
        <w:rPr>
          <w:rFonts w:ascii="Times New Roman" w:hAnsi="Times New Roman" w:cs="Times New Roman"/>
          <w:b/>
          <w:sz w:val="20"/>
        </w:rPr>
        <w:t>Methods:</w:t>
      </w:r>
      <w:r w:rsidRPr="00C07D21">
        <w:rPr>
          <w:rFonts w:ascii="Times New Roman" w:hAnsi="Times New Roman" w:cs="Times New Roman"/>
          <w:sz w:val="20"/>
        </w:rPr>
        <w:t xml:space="preserve"> Suppository formulations were prepared by fusion method using </w:t>
      </w:r>
      <w:proofErr w:type="spellStart"/>
      <w:r w:rsidRPr="00C07D21">
        <w:rPr>
          <w:rFonts w:ascii="Times New Roman" w:hAnsi="Times New Roman" w:cs="Times New Roman"/>
          <w:sz w:val="20"/>
        </w:rPr>
        <w:t>Witepsol</w:t>
      </w:r>
      <w:proofErr w:type="spellEnd"/>
      <w:r w:rsidRPr="00C07D21">
        <w:rPr>
          <w:rFonts w:ascii="Times New Roman" w:hAnsi="Times New Roman" w:cs="Times New Roman"/>
          <w:sz w:val="20"/>
        </w:rPr>
        <w:t xml:space="preserve">®, </w:t>
      </w:r>
      <w:proofErr w:type="spellStart"/>
      <w:r w:rsidRPr="00C07D21">
        <w:rPr>
          <w:rFonts w:ascii="Times New Roman" w:hAnsi="Times New Roman" w:cs="Times New Roman"/>
          <w:sz w:val="20"/>
        </w:rPr>
        <w:t>Suppocire</w:t>
      </w:r>
      <w:proofErr w:type="spellEnd"/>
      <w:r w:rsidRPr="00C07D21">
        <w:rPr>
          <w:rFonts w:ascii="Times New Roman" w:hAnsi="Times New Roman" w:cs="Times New Roman"/>
          <w:sz w:val="20"/>
        </w:rPr>
        <w:t xml:space="preserve">® and Massa® fatty bases (different grades) and PEG hydrophilic bases (different ratios) each containing 500 mg drug. The prepared formulations were characterized for manufacture defects and </w:t>
      </w:r>
      <w:proofErr w:type="spellStart"/>
      <w:r w:rsidRPr="00C07D21">
        <w:rPr>
          <w:rFonts w:ascii="Times New Roman" w:hAnsi="Times New Roman" w:cs="Times New Roman"/>
          <w:sz w:val="20"/>
        </w:rPr>
        <w:t>pharmacotechnical</w:t>
      </w:r>
      <w:proofErr w:type="spellEnd"/>
      <w:r w:rsidRPr="00C07D21">
        <w:rPr>
          <w:rFonts w:ascii="Times New Roman" w:hAnsi="Times New Roman" w:cs="Times New Roman"/>
          <w:sz w:val="20"/>
        </w:rPr>
        <w:t xml:space="preserve"> properties and the formulations showing superior results were subjected to bioavailability testing in healthy human volunteers compared with the commercial oral t</w:t>
      </w:r>
      <w:r w:rsidRPr="00C07D21">
        <w:rPr>
          <w:rFonts w:ascii="Times New Roman" w:hAnsi="Times New Roman" w:cs="Times New Roman"/>
          <w:sz w:val="20"/>
        </w:rPr>
        <w:t xml:space="preserve">ablet (Ref) applying LC-MS/MS. </w:t>
      </w:r>
    </w:p>
    <w:p w:rsidR="00C07D21" w:rsidRPr="00C07D21" w:rsidRDefault="00C07D21" w:rsidP="00C07D21">
      <w:pPr>
        <w:jc w:val="both"/>
        <w:rPr>
          <w:rFonts w:ascii="Times New Roman" w:hAnsi="Times New Roman" w:cs="Times New Roman"/>
          <w:sz w:val="20"/>
        </w:rPr>
      </w:pPr>
      <w:r w:rsidRPr="00C07D21">
        <w:rPr>
          <w:rFonts w:ascii="Times New Roman" w:hAnsi="Times New Roman" w:cs="Times New Roman"/>
          <w:b/>
          <w:sz w:val="20"/>
        </w:rPr>
        <w:t>Results:</w:t>
      </w:r>
      <w:r w:rsidRPr="00C07D21">
        <w:rPr>
          <w:rFonts w:ascii="Times New Roman" w:hAnsi="Times New Roman" w:cs="Times New Roman"/>
          <w:sz w:val="20"/>
        </w:rPr>
        <w:t xml:space="preserve"> The preparation method produced suppositories with satisfactory characteristics and free of manufacturing defects. The fatty bases containing </w:t>
      </w:r>
      <w:proofErr w:type="spellStart"/>
      <w:r w:rsidRPr="00C07D21">
        <w:rPr>
          <w:rFonts w:ascii="Times New Roman" w:hAnsi="Times New Roman" w:cs="Times New Roman"/>
          <w:sz w:val="20"/>
        </w:rPr>
        <w:t>Witepsol</w:t>
      </w:r>
      <w:proofErr w:type="spellEnd"/>
      <w:r w:rsidRPr="00C07D21">
        <w:rPr>
          <w:rFonts w:ascii="Times New Roman" w:hAnsi="Times New Roman" w:cs="Times New Roman"/>
          <w:sz w:val="20"/>
        </w:rPr>
        <w:t xml:space="preserve"> H12 (FW), </w:t>
      </w:r>
      <w:proofErr w:type="spellStart"/>
      <w:r w:rsidRPr="00C07D21">
        <w:rPr>
          <w:rFonts w:ascii="Times New Roman" w:hAnsi="Times New Roman" w:cs="Times New Roman"/>
          <w:sz w:val="20"/>
        </w:rPr>
        <w:t>Suppocire</w:t>
      </w:r>
      <w:proofErr w:type="spellEnd"/>
      <w:r w:rsidRPr="00C07D21">
        <w:rPr>
          <w:rFonts w:ascii="Times New Roman" w:hAnsi="Times New Roman" w:cs="Times New Roman"/>
          <w:sz w:val="20"/>
        </w:rPr>
        <w:t xml:space="preserve"> AP (FS) and Massa </w:t>
      </w:r>
      <w:proofErr w:type="spellStart"/>
      <w:r w:rsidRPr="00C07D21">
        <w:rPr>
          <w:rFonts w:ascii="Times New Roman" w:hAnsi="Times New Roman" w:cs="Times New Roman"/>
          <w:sz w:val="20"/>
        </w:rPr>
        <w:t>Estranium</w:t>
      </w:r>
      <w:proofErr w:type="spellEnd"/>
      <w:r w:rsidRPr="00C07D21">
        <w:rPr>
          <w:rFonts w:ascii="Times New Roman" w:hAnsi="Times New Roman" w:cs="Times New Roman"/>
          <w:sz w:val="20"/>
        </w:rPr>
        <w:t xml:space="preserve"> B (FM) were superior compared with the other bases. The results of the bioavailability testing showed comparable pharmacokinetic parameters when compared with the Ref. The AUC (0-24) values </w:t>
      </w:r>
      <w:r>
        <w:rPr>
          <w:rFonts w:ascii="Times New Roman" w:hAnsi="Times New Roman" w:cs="Times New Roman"/>
          <w:sz w:val="20"/>
        </w:rPr>
        <w:t>could be arranged as follow: FS&gt;Ref&gt;FM&gt;</w:t>
      </w:r>
      <w:r w:rsidRPr="00C07D21">
        <w:rPr>
          <w:rFonts w:ascii="Times New Roman" w:hAnsi="Times New Roman" w:cs="Times New Roman"/>
          <w:sz w:val="20"/>
        </w:rPr>
        <w:t>FW, the</w:t>
      </w:r>
      <w:r>
        <w:rPr>
          <w:rFonts w:ascii="Times New Roman" w:hAnsi="Times New Roman" w:cs="Times New Roman"/>
          <w:sz w:val="20"/>
        </w:rPr>
        <w:t xml:space="preserve"> </w:t>
      </w:r>
      <w:proofErr w:type="spellStart"/>
      <w:r>
        <w:rPr>
          <w:rFonts w:ascii="Times New Roman" w:hAnsi="Times New Roman" w:cs="Times New Roman"/>
          <w:sz w:val="20"/>
        </w:rPr>
        <w:t>Cmax</w:t>
      </w:r>
      <w:proofErr w:type="spellEnd"/>
      <w:r>
        <w:rPr>
          <w:rFonts w:ascii="Times New Roman" w:hAnsi="Times New Roman" w:cs="Times New Roman"/>
          <w:sz w:val="20"/>
        </w:rPr>
        <w:t xml:space="preserve"> values were as follow: FM&gt;FS&gt;FW&gt;</w:t>
      </w:r>
      <w:r w:rsidRPr="00C07D21">
        <w:rPr>
          <w:rFonts w:ascii="Times New Roman" w:hAnsi="Times New Roman" w:cs="Times New Roman"/>
          <w:sz w:val="20"/>
        </w:rPr>
        <w:t>Ref and the relative bioavailability were calculated as 100.95, 99.01 and 76.65 % for formulatio</w:t>
      </w:r>
      <w:r w:rsidRPr="00C07D21">
        <w:rPr>
          <w:rFonts w:ascii="Times New Roman" w:hAnsi="Times New Roman" w:cs="Times New Roman"/>
          <w:sz w:val="20"/>
        </w:rPr>
        <w:t xml:space="preserve">ns FS, FM and FW respectively. </w:t>
      </w:r>
    </w:p>
    <w:p w:rsidR="00C07D21" w:rsidRPr="00C07D21" w:rsidRDefault="00C07D21" w:rsidP="00C07D21">
      <w:pPr>
        <w:jc w:val="both"/>
        <w:rPr>
          <w:rFonts w:ascii="Times New Roman" w:hAnsi="Times New Roman" w:cs="Times New Roman"/>
          <w:sz w:val="20"/>
        </w:rPr>
      </w:pPr>
      <w:r w:rsidRPr="00C07D21">
        <w:rPr>
          <w:rFonts w:ascii="Times New Roman" w:hAnsi="Times New Roman" w:cs="Times New Roman"/>
          <w:b/>
          <w:sz w:val="20"/>
        </w:rPr>
        <w:t>Conclusions:</w:t>
      </w:r>
      <w:r w:rsidRPr="00C07D21">
        <w:rPr>
          <w:rFonts w:ascii="Times New Roman" w:hAnsi="Times New Roman" w:cs="Times New Roman"/>
          <w:sz w:val="20"/>
        </w:rPr>
        <w:t xml:space="preserve"> Generally, the fatty bases showed superior characteristics compared with the PEG bases. FS and FM formulations showed higher bioavailability compared with the Ref and could be potential alternatives to the commercial oral tablet particularly for </w:t>
      </w:r>
      <w:proofErr w:type="spellStart"/>
      <w:r w:rsidRPr="00C07D21">
        <w:rPr>
          <w:rFonts w:ascii="Times New Roman" w:hAnsi="Times New Roman" w:cs="Times New Roman"/>
          <w:sz w:val="20"/>
        </w:rPr>
        <w:t>paed</w:t>
      </w:r>
      <w:r w:rsidRPr="00C07D21">
        <w:rPr>
          <w:rFonts w:ascii="Times New Roman" w:hAnsi="Times New Roman" w:cs="Times New Roman"/>
          <w:sz w:val="20"/>
        </w:rPr>
        <w:t>iatric</w:t>
      </w:r>
      <w:proofErr w:type="spellEnd"/>
      <w:r w:rsidRPr="00C07D21">
        <w:rPr>
          <w:rFonts w:ascii="Times New Roman" w:hAnsi="Times New Roman" w:cs="Times New Roman"/>
          <w:sz w:val="20"/>
        </w:rPr>
        <w:t xml:space="preserve"> and geriatric patients. </w:t>
      </w:r>
    </w:p>
    <w:p w:rsidR="00C07D21" w:rsidRPr="00C07D21" w:rsidRDefault="00C07D21" w:rsidP="00C07D21">
      <w:pPr>
        <w:rPr>
          <w:rFonts w:ascii="Times New Roman" w:hAnsi="Times New Roman" w:cs="Times New Roman"/>
          <w:b/>
          <w:sz w:val="24"/>
        </w:rPr>
      </w:pPr>
      <w:r w:rsidRPr="00C07D21">
        <w:rPr>
          <w:rFonts w:ascii="Times New Roman" w:hAnsi="Times New Roman" w:cs="Times New Roman"/>
          <w:b/>
          <w:sz w:val="24"/>
        </w:rPr>
        <w:t>Biography</w:t>
      </w:r>
    </w:p>
    <w:p w:rsidR="00C07D21" w:rsidRPr="00C07D21" w:rsidRDefault="00C07D21" w:rsidP="00C07D21">
      <w:pPr>
        <w:jc w:val="both"/>
        <w:rPr>
          <w:rFonts w:ascii="Times New Roman" w:hAnsi="Times New Roman" w:cs="Times New Roman"/>
          <w:sz w:val="20"/>
        </w:rPr>
      </w:pPr>
      <w:proofErr w:type="spellStart"/>
      <w:r w:rsidRPr="00C07D21">
        <w:rPr>
          <w:rFonts w:ascii="Times New Roman" w:hAnsi="Times New Roman" w:cs="Times New Roman"/>
          <w:sz w:val="20"/>
        </w:rPr>
        <w:t>Abdelazim</w:t>
      </w:r>
      <w:proofErr w:type="spellEnd"/>
      <w:r w:rsidRPr="00C07D21">
        <w:rPr>
          <w:rFonts w:ascii="Times New Roman" w:hAnsi="Times New Roman" w:cs="Times New Roman"/>
          <w:sz w:val="20"/>
        </w:rPr>
        <w:t xml:space="preserve"> </w:t>
      </w:r>
      <w:proofErr w:type="spellStart"/>
      <w:r w:rsidRPr="00C07D21">
        <w:rPr>
          <w:rFonts w:ascii="Times New Roman" w:hAnsi="Times New Roman" w:cs="Times New Roman"/>
          <w:sz w:val="20"/>
        </w:rPr>
        <w:t>Zaghloul</w:t>
      </w:r>
      <w:proofErr w:type="spellEnd"/>
      <w:r w:rsidRPr="00C07D21">
        <w:rPr>
          <w:rFonts w:ascii="Times New Roman" w:hAnsi="Times New Roman" w:cs="Times New Roman"/>
          <w:sz w:val="20"/>
        </w:rPr>
        <w:t xml:space="preserve"> is affiliated to Pharmaceutics, Faculty of </w:t>
      </w:r>
      <w:r w:rsidRPr="00C07D21">
        <w:rPr>
          <w:rFonts w:ascii="Times New Roman" w:hAnsi="Times New Roman" w:cs="Times New Roman"/>
          <w:sz w:val="20"/>
        </w:rPr>
        <w:t>Pharmacy;</w:t>
      </w:r>
      <w:r w:rsidRPr="00C07D21">
        <w:rPr>
          <w:rFonts w:ascii="Times New Roman" w:hAnsi="Times New Roman" w:cs="Times New Roman"/>
          <w:sz w:val="20"/>
        </w:rPr>
        <w:t xml:space="preserve"> Kuwait University, Kuwait</w:t>
      </w:r>
      <w:r>
        <w:rPr>
          <w:rFonts w:ascii="Times New Roman" w:hAnsi="Times New Roman" w:cs="Times New Roman"/>
          <w:sz w:val="20"/>
        </w:rPr>
        <w:t>.</w:t>
      </w:r>
      <w:r w:rsidRPr="00C07D21">
        <w:rPr>
          <w:rFonts w:ascii="Times New Roman" w:hAnsi="Times New Roman" w:cs="Times New Roman"/>
          <w:sz w:val="20"/>
        </w:rPr>
        <w:t xml:space="preserve"> </w:t>
      </w:r>
      <w:r>
        <w:rPr>
          <w:rFonts w:ascii="Times New Roman" w:hAnsi="Times New Roman" w:cs="Times New Roman"/>
          <w:sz w:val="20"/>
        </w:rPr>
        <w:t>He</w:t>
      </w:r>
      <w:r w:rsidRPr="00C07D21">
        <w:rPr>
          <w:rFonts w:ascii="Times New Roman" w:hAnsi="Times New Roman" w:cs="Times New Roman"/>
          <w:sz w:val="20"/>
        </w:rPr>
        <w:t xml:space="preserve"> is a recipient of many awards and grants for his valuable contributions and discoveries in major area of subject research. His international experience includes various programs, contributions and participation in different countries for diverse fields of study.</w:t>
      </w:r>
      <w:bookmarkEnd w:id="0"/>
    </w:p>
    <w:sectPr w:rsidR="00C07D21" w:rsidRPr="00C07D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D21"/>
    <w:rsid w:val="00474203"/>
    <w:rsid w:val="00535872"/>
    <w:rsid w:val="00924B33"/>
    <w:rsid w:val="00C07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342</Words>
  <Characters>1956</Characters>
  <Application>Microsoft Office Word</Application>
  <DocSecurity>0</DocSecurity>
  <Lines>16</Lines>
  <Paragraphs>4</Paragraphs>
  <ScaleCrop>false</ScaleCrop>
  <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2023-01-31T12:32:00Z</dcterms:created>
  <dcterms:modified xsi:type="dcterms:W3CDTF">2023-01-31T12:38:00Z</dcterms:modified>
</cp:coreProperties>
</file>