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F1F46">
      <w:pPr>
        <w:rPr>
          <w:rFonts w:ascii="Times New Roman" w:hAnsi="Times New Roman" w:cs="Times New Roman"/>
          <w:b/>
          <w:sz w:val="32"/>
        </w:rPr>
      </w:pPr>
      <w:r w:rsidRPr="00EF1F46">
        <w:rPr>
          <w:rFonts w:ascii="Times New Roman" w:hAnsi="Times New Roman" w:cs="Times New Roman"/>
          <w:b/>
          <w:sz w:val="32"/>
        </w:rPr>
        <w:t xml:space="preserve">Investigation of </w:t>
      </w:r>
      <w:proofErr w:type="spellStart"/>
      <w:r w:rsidRPr="00EF1F46">
        <w:rPr>
          <w:rFonts w:ascii="Times New Roman" w:hAnsi="Times New Roman" w:cs="Times New Roman"/>
          <w:b/>
          <w:sz w:val="32"/>
        </w:rPr>
        <w:t>magnetotocosome</w:t>
      </w:r>
      <w:proofErr w:type="spellEnd"/>
      <w:r w:rsidRPr="00EF1F46">
        <w:rPr>
          <w:rFonts w:ascii="Times New Roman" w:hAnsi="Times New Roman" w:cs="Times New Roman"/>
          <w:b/>
          <w:sz w:val="32"/>
        </w:rPr>
        <w:t xml:space="preserve"> as the magnetic targeting drug delivery system for </w:t>
      </w:r>
      <w:proofErr w:type="spellStart"/>
      <w:r w:rsidRPr="00EF1F46">
        <w:rPr>
          <w:rFonts w:ascii="Times New Roman" w:hAnsi="Times New Roman" w:cs="Times New Roman"/>
          <w:b/>
          <w:sz w:val="32"/>
        </w:rPr>
        <w:t>Sorafenib</w:t>
      </w:r>
      <w:proofErr w:type="spellEnd"/>
      <w:r w:rsidRPr="00EF1F46">
        <w:rPr>
          <w:rFonts w:ascii="Times New Roman" w:hAnsi="Times New Roman" w:cs="Times New Roman"/>
          <w:b/>
          <w:sz w:val="32"/>
        </w:rPr>
        <w:t xml:space="preserve"> </w:t>
      </w:r>
      <w:proofErr w:type="spellStart"/>
      <w:r w:rsidRPr="00EF1F46">
        <w:rPr>
          <w:rFonts w:ascii="Times New Roman" w:hAnsi="Times New Roman" w:cs="Times New Roman"/>
          <w:b/>
          <w:sz w:val="32"/>
        </w:rPr>
        <w:t>tosylate</w:t>
      </w:r>
      <w:proofErr w:type="spellEnd"/>
      <w:r w:rsidRPr="00EF1F46">
        <w:rPr>
          <w:rFonts w:ascii="Times New Roman" w:hAnsi="Times New Roman" w:cs="Times New Roman"/>
          <w:b/>
          <w:sz w:val="32"/>
        </w:rPr>
        <w:t xml:space="preserve"> anticancer drug</w:t>
      </w:r>
    </w:p>
    <w:p w:rsidR="00EF1F46" w:rsidRDefault="00EF1F46">
      <w:pPr>
        <w:rPr>
          <w:rFonts w:ascii="Times New Roman" w:hAnsi="Times New Roman" w:cs="Times New Roman"/>
          <w:sz w:val="24"/>
        </w:rPr>
      </w:pPr>
      <w:proofErr w:type="spellStart"/>
      <w:r w:rsidRPr="00EF1F46">
        <w:rPr>
          <w:rFonts w:ascii="Times New Roman" w:hAnsi="Times New Roman" w:cs="Times New Roman"/>
          <w:sz w:val="24"/>
        </w:rPr>
        <w:t>Gholamhossein</w:t>
      </w:r>
      <w:proofErr w:type="spellEnd"/>
      <w:r w:rsidRPr="00EF1F46">
        <w:rPr>
          <w:rFonts w:ascii="Times New Roman" w:hAnsi="Times New Roman" w:cs="Times New Roman"/>
          <w:sz w:val="24"/>
        </w:rPr>
        <w:t xml:space="preserve"> </w:t>
      </w:r>
      <w:proofErr w:type="spellStart"/>
      <w:r w:rsidRPr="00EF1F46">
        <w:rPr>
          <w:rFonts w:ascii="Times New Roman" w:hAnsi="Times New Roman" w:cs="Times New Roman"/>
          <w:sz w:val="24"/>
        </w:rPr>
        <w:t>Sodeifian</w:t>
      </w:r>
      <w:proofErr w:type="spellEnd"/>
    </w:p>
    <w:p w:rsidR="00EF1F46" w:rsidRPr="00EF1F46" w:rsidRDefault="00EF1F46">
      <w:pPr>
        <w:rPr>
          <w:rFonts w:ascii="Times New Roman" w:hAnsi="Times New Roman" w:cs="Times New Roman"/>
        </w:rPr>
      </w:pPr>
      <w:r w:rsidRPr="00EF1F46">
        <w:rPr>
          <w:rFonts w:ascii="Times New Roman" w:hAnsi="Times New Roman" w:cs="Times New Roman"/>
        </w:rPr>
        <w:t xml:space="preserve">University of </w:t>
      </w:r>
      <w:proofErr w:type="spellStart"/>
      <w:r w:rsidRPr="00EF1F46">
        <w:rPr>
          <w:rFonts w:ascii="Times New Roman" w:hAnsi="Times New Roman" w:cs="Times New Roman"/>
        </w:rPr>
        <w:t>Kashan</w:t>
      </w:r>
      <w:proofErr w:type="spellEnd"/>
      <w:r w:rsidRPr="00EF1F46">
        <w:rPr>
          <w:rFonts w:ascii="Times New Roman" w:hAnsi="Times New Roman" w:cs="Times New Roman"/>
        </w:rPr>
        <w:t>, Iran</w:t>
      </w:r>
    </w:p>
    <w:p w:rsidR="00EF1F46" w:rsidRPr="00EF1F46" w:rsidRDefault="00EF1F46" w:rsidP="00EF1F46">
      <w:pPr>
        <w:jc w:val="center"/>
        <w:rPr>
          <w:rFonts w:ascii="Times New Roman" w:hAnsi="Times New Roman" w:cs="Times New Roman"/>
          <w:b/>
          <w:sz w:val="24"/>
        </w:rPr>
      </w:pPr>
      <w:r w:rsidRPr="00EF1F46">
        <w:rPr>
          <w:rFonts w:ascii="Times New Roman" w:hAnsi="Times New Roman" w:cs="Times New Roman"/>
          <w:b/>
          <w:sz w:val="24"/>
        </w:rPr>
        <w:t>Abstract</w:t>
      </w:r>
    </w:p>
    <w:p w:rsidR="00EF1F46" w:rsidRDefault="00EF1F46" w:rsidP="00EF1F46">
      <w:pPr>
        <w:jc w:val="both"/>
        <w:rPr>
          <w:rFonts w:ascii="Times New Roman" w:hAnsi="Times New Roman" w:cs="Times New Roman"/>
          <w:sz w:val="20"/>
        </w:rPr>
      </w:pPr>
      <w:proofErr w:type="spellStart"/>
      <w:r w:rsidRPr="00EF1F46">
        <w:rPr>
          <w:rFonts w:ascii="Times New Roman" w:hAnsi="Times New Roman" w:cs="Times New Roman"/>
          <w:sz w:val="20"/>
        </w:rPr>
        <w:t>Hepato</w:t>
      </w:r>
      <w:proofErr w:type="spellEnd"/>
      <w:r>
        <w:rPr>
          <w:rFonts w:ascii="Times New Roman" w:hAnsi="Times New Roman" w:cs="Times New Roman"/>
          <w:sz w:val="20"/>
        </w:rPr>
        <w:t>-</w:t>
      </w:r>
      <w:r w:rsidRPr="00EF1F46">
        <w:rPr>
          <w:rFonts w:ascii="Times New Roman" w:hAnsi="Times New Roman" w:cs="Times New Roman"/>
          <w:sz w:val="20"/>
        </w:rPr>
        <w:t xml:space="preserve">Cellular Carcinoma (HCC) is the fifth prevalent malignant tumor having the third rank in the global mortality chart. </w:t>
      </w:r>
      <w:proofErr w:type="spellStart"/>
      <w:r w:rsidRPr="00EF1F46">
        <w:rPr>
          <w:rFonts w:ascii="Times New Roman" w:hAnsi="Times New Roman" w:cs="Times New Roman"/>
          <w:sz w:val="20"/>
        </w:rPr>
        <w:t>Sorafenib</w:t>
      </w:r>
      <w:proofErr w:type="spellEnd"/>
      <w:r w:rsidRPr="00EF1F46">
        <w:rPr>
          <w:rFonts w:ascii="Times New Roman" w:hAnsi="Times New Roman" w:cs="Times New Roman"/>
          <w:sz w:val="20"/>
        </w:rPr>
        <w:t xml:space="preserve"> </w:t>
      </w:r>
      <w:proofErr w:type="spellStart"/>
      <w:r w:rsidRPr="00EF1F46">
        <w:rPr>
          <w:rFonts w:ascii="Times New Roman" w:hAnsi="Times New Roman" w:cs="Times New Roman"/>
          <w:sz w:val="20"/>
        </w:rPr>
        <w:t>tosylate</w:t>
      </w:r>
      <w:proofErr w:type="spellEnd"/>
      <w:r w:rsidRPr="00EF1F46">
        <w:rPr>
          <w:rFonts w:ascii="Times New Roman" w:hAnsi="Times New Roman" w:cs="Times New Roman"/>
          <w:sz w:val="20"/>
        </w:rPr>
        <w:t xml:space="preserve"> (SFB) is approved as the first anticancer drug for the treatment of HCC. According to the Biopharmaceutical Classification Scheme (BCS), SFB belongs to class II compounds that indicate a very poor solubility in the aqueous solution at different pH values from pH=1.2 to pH=7.4 (slow dissolution rate within the gastrointestinal tracts) and high permeability from the gastrointestinal lumen. The drug has low oral bioavailability (8.43%); consequently, high dose treatment is necessary which may cause the systemic toxicity</w:t>
      </w:r>
      <w:r w:rsidR="006D1E84">
        <w:rPr>
          <w:rFonts w:ascii="Times New Roman" w:hAnsi="Times New Roman" w:cs="Times New Roman"/>
          <w:sz w:val="20"/>
        </w:rPr>
        <w:t xml:space="preserve"> [Figure 1]</w:t>
      </w:r>
      <w:r w:rsidRPr="00EF1F46">
        <w:rPr>
          <w:rFonts w:ascii="Times New Roman" w:hAnsi="Times New Roman" w:cs="Times New Roman"/>
          <w:sz w:val="20"/>
        </w:rPr>
        <w:t>. Nanotechnology based novel dru</w:t>
      </w:r>
      <w:bookmarkStart w:id="0" w:name="_GoBack"/>
      <w:bookmarkEnd w:id="0"/>
      <w:r w:rsidRPr="00EF1F46">
        <w:rPr>
          <w:rFonts w:ascii="Times New Roman" w:hAnsi="Times New Roman" w:cs="Times New Roman"/>
          <w:sz w:val="20"/>
        </w:rPr>
        <w:t xml:space="preserve">g delivery systems are applied to design the systems with improved biocompatibility and biodegradability which can deliver the drug molecule efficiently and safely to the target tissue thus decrease the side effects, especially for drugs with narrow therapeutic index or cytotoxic effects. In this research, for the first time, the </w:t>
      </w:r>
      <w:proofErr w:type="spellStart"/>
      <w:r w:rsidRPr="00EF1F46">
        <w:rPr>
          <w:rFonts w:ascii="Times New Roman" w:hAnsi="Times New Roman" w:cs="Times New Roman"/>
          <w:sz w:val="20"/>
        </w:rPr>
        <w:t>magnetotocosome</w:t>
      </w:r>
      <w:proofErr w:type="spellEnd"/>
      <w:r w:rsidRPr="00EF1F46">
        <w:rPr>
          <w:rFonts w:ascii="Times New Roman" w:hAnsi="Times New Roman" w:cs="Times New Roman"/>
          <w:sz w:val="20"/>
        </w:rPr>
        <w:t xml:space="preserve"> was developed as the biocompatible </w:t>
      </w:r>
      <w:proofErr w:type="spellStart"/>
      <w:r w:rsidRPr="00EF1F46">
        <w:rPr>
          <w:rFonts w:ascii="Times New Roman" w:hAnsi="Times New Roman" w:cs="Times New Roman"/>
          <w:sz w:val="20"/>
        </w:rPr>
        <w:t>nanocarrier</w:t>
      </w:r>
      <w:proofErr w:type="spellEnd"/>
      <w:r w:rsidRPr="00EF1F46">
        <w:rPr>
          <w:rFonts w:ascii="Times New Roman" w:hAnsi="Times New Roman" w:cs="Times New Roman"/>
          <w:sz w:val="20"/>
        </w:rPr>
        <w:t xml:space="preserve"> with improved drug encapsulation efficiency (up to 77%), extended stability, proper particle size (&lt;150 nm) and industrial </w:t>
      </w:r>
      <w:proofErr w:type="spellStart"/>
      <w:r w:rsidRPr="00EF1F46">
        <w:rPr>
          <w:rFonts w:ascii="Times New Roman" w:hAnsi="Times New Roman" w:cs="Times New Roman"/>
          <w:sz w:val="20"/>
        </w:rPr>
        <w:t>upscaling</w:t>
      </w:r>
      <w:proofErr w:type="spellEnd"/>
      <w:r w:rsidRPr="00EF1F46">
        <w:rPr>
          <w:rFonts w:ascii="Times New Roman" w:hAnsi="Times New Roman" w:cs="Times New Roman"/>
          <w:sz w:val="20"/>
        </w:rPr>
        <w:t xml:space="preserve"> (</w:t>
      </w:r>
      <w:proofErr w:type="spellStart"/>
      <w:r w:rsidRPr="00EF1F46">
        <w:rPr>
          <w:rFonts w:ascii="Times New Roman" w:hAnsi="Times New Roman" w:cs="Times New Roman"/>
          <w:sz w:val="20"/>
        </w:rPr>
        <w:t>Mozafari</w:t>
      </w:r>
      <w:proofErr w:type="spellEnd"/>
      <w:r w:rsidRPr="00EF1F46">
        <w:rPr>
          <w:rFonts w:ascii="Times New Roman" w:hAnsi="Times New Roman" w:cs="Times New Roman"/>
          <w:sz w:val="20"/>
        </w:rPr>
        <w:t xml:space="preserve"> method was applied to prepare the </w:t>
      </w:r>
      <w:proofErr w:type="spellStart"/>
      <w:r w:rsidRPr="00EF1F46">
        <w:rPr>
          <w:rFonts w:ascii="Times New Roman" w:hAnsi="Times New Roman" w:cs="Times New Roman"/>
          <w:sz w:val="20"/>
        </w:rPr>
        <w:t>tocosome</w:t>
      </w:r>
      <w:proofErr w:type="spellEnd"/>
      <w:r w:rsidRPr="00EF1F46">
        <w:rPr>
          <w:rFonts w:ascii="Times New Roman" w:hAnsi="Times New Roman" w:cs="Times New Roman"/>
          <w:sz w:val="20"/>
        </w:rPr>
        <w:t xml:space="preserve">) for controlled drug delivery of </w:t>
      </w:r>
      <w:proofErr w:type="spellStart"/>
      <w:r w:rsidRPr="00EF1F46">
        <w:rPr>
          <w:rFonts w:ascii="Times New Roman" w:hAnsi="Times New Roman" w:cs="Times New Roman"/>
          <w:sz w:val="20"/>
        </w:rPr>
        <w:t>sorafenib</w:t>
      </w:r>
      <w:proofErr w:type="spellEnd"/>
      <w:r w:rsidRPr="00EF1F46">
        <w:rPr>
          <w:rFonts w:ascii="Times New Roman" w:hAnsi="Times New Roman" w:cs="Times New Roman"/>
          <w:sz w:val="20"/>
        </w:rPr>
        <w:t xml:space="preserve"> </w:t>
      </w:r>
      <w:proofErr w:type="spellStart"/>
      <w:r w:rsidRPr="00EF1F46">
        <w:rPr>
          <w:rFonts w:ascii="Times New Roman" w:hAnsi="Times New Roman" w:cs="Times New Roman"/>
          <w:sz w:val="20"/>
        </w:rPr>
        <w:t>tosylate</w:t>
      </w:r>
      <w:proofErr w:type="spellEnd"/>
      <w:r w:rsidRPr="00EF1F46">
        <w:rPr>
          <w:rFonts w:ascii="Times New Roman" w:hAnsi="Times New Roman" w:cs="Times New Roman"/>
          <w:sz w:val="20"/>
        </w:rPr>
        <w:t xml:space="preserve"> to cancerous tissue. The optimum composition of </w:t>
      </w:r>
      <w:proofErr w:type="spellStart"/>
      <w:r w:rsidRPr="00EF1F46">
        <w:rPr>
          <w:rFonts w:ascii="Times New Roman" w:hAnsi="Times New Roman" w:cs="Times New Roman"/>
          <w:sz w:val="20"/>
        </w:rPr>
        <w:t>tocosome</w:t>
      </w:r>
      <w:proofErr w:type="spellEnd"/>
      <w:r w:rsidRPr="00EF1F46">
        <w:rPr>
          <w:rFonts w:ascii="Times New Roman" w:hAnsi="Times New Roman" w:cs="Times New Roman"/>
          <w:sz w:val="20"/>
        </w:rPr>
        <w:t xml:space="preserve"> was determined based on particle size and drug loading and then it was used to prepare the </w:t>
      </w:r>
      <w:proofErr w:type="spellStart"/>
      <w:r w:rsidRPr="00EF1F46">
        <w:rPr>
          <w:rFonts w:ascii="Times New Roman" w:hAnsi="Times New Roman" w:cs="Times New Roman"/>
          <w:sz w:val="20"/>
        </w:rPr>
        <w:t>magnetotocosome</w:t>
      </w:r>
      <w:proofErr w:type="spellEnd"/>
      <w:r w:rsidR="006D1E84">
        <w:rPr>
          <w:rFonts w:ascii="Times New Roman" w:hAnsi="Times New Roman" w:cs="Times New Roman"/>
          <w:sz w:val="20"/>
        </w:rPr>
        <w:t xml:space="preserve"> [Figure 2]</w:t>
      </w:r>
      <w:r w:rsidRPr="00EF1F46">
        <w:rPr>
          <w:rFonts w:ascii="Times New Roman" w:hAnsi="Times New Roman" w:cs="Times New Roman"/>
          <w:sz w:val="20"/>
        </w:rPr>
        <w:t xml:space="preserve">. In addition, the effect of </w:t>
      </w:r>
      <w:proofErr w:type="spellStart"/>
      <w:r w:rsidRPr="00EF1F46">
        <w:rPr>
          <w:rFonts w:ascii="Times New Roman" w:hAnsi="Times New Roman" w:cs="Times New Roman"/>
          <w:sz w:val="20"/>
        </w:rPr>
        <w:t>phosphatidylcholine</w:t>
      </w:r>
      <w:proofErr w:type="spellEnd"/>
      <w:r w:rsidRPr="00EF1F46">
        <w:rPr>
          <w:rFonts w:ascii="Times New Roman" w:hAnsi="Times New Roman" w:cs="Times New Roman"/>
          <w:sz w:val="20"/>
        </w:rPr>
        <w:t xml:space="preserve"> on the properties of Super</w:t>
      </w:r>
      <w:r>
        <w:rPr>
          <w:rFonts w:ascii="Times New Roman" w:hAnsi="Times New Roman" w:cs="Times New Roman"/>
          <w:sz w:val="20"/>
        </w:rPr>
        <w:t xml:space="preserve"> </w:t>
      </w:r>
      <w:r w:rsidRPr="00EF1F46">
        <w:rPr>
          <w:rFonts w:ascii="Times New Roman" w:hAnsi="Times New Roman" w:cs="Times New Roman"/>
          <w:sz w:val="20"/>
        </w:rPr>
        <w:t xml:space="preserve">Paramagnetic Iron Oxide (SPIO) nanoparticles was examined. The prepared </w:t>
      </w:r>
      <w:proofErr w:type="spellStart"/>
      <w:r w:rsidRPr="00EF1F46">
        <w:rPr>
          <w:rFonts w:ascii="Times New Roman" w:hAnsi="Times New Roman" w:cs="Times New Roman"/>
          <w:sz w:val="20"/>
        </w:rPr>
        <w:t>nanocarrier</w:t>
      </w:r>
      <w:proofErr w:type="spellEnd"/>
      <w:r w:rsidRPr="00EF1F46">
        <w:rPr>
          <w:rFonts w:ascii="Times New Roman" w:hAnsi="Times New Roman" w:cs="Times New Roman"/>
          <w:sz w:val="20"/>
        </w:rPr>
        <w:t xml:space="preserve"> can improve bioavailability of drug and be used in the hyperthermia and controlled and targeted release of drug particles.</w:t>
      </w:r>
    </w:p>
    <w:p w:rsidR="00EF1F46" w:rsidRDefault="00EF1F46" w:rsidP="00EF1F4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AF947BA">
            <wp:extent cx="3164619" cy="15902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590052"/>
                    </a:xfrm>
                    <a:prstGeom prst="rect">
                      <a:avLst/>
                    </a:prstGeom>
                    <a:noFill/>
                  </pic:spPr>
                </pic:pic>
              </a:graphicData>
            </a:graphic>
          </wp:inline>
        </w:drawing>
      </w:r>
    </w:p>
    <w:p w:rsidR="00EF1F46" w:rsidRPr="006D1E84" w:rsidRDefault="00EF1F46" w:rsidP="00EF1F46">
      <w:pPr>
        <w:jc w:val="center"/>
        <w:rPr>
          <w:rFonts w:ascii="Times New Roman" w:hAnsi="Times New Roman" w:cs="Times New Roman"/>
          <w:i/>
          <w:sz w:val="18"/>
        </w:rPr>
      </w:pPr>
      <w:proofErr w:type="gramStart"/>
      <w:r w:rsidRPr="006D1E84">
        <w:rPr>
          <w:rFonts w:ascii="Times New Roman" w:hAnsi="Times New Roman" w:cs="Times New Roman"/>
          <w:b/>
          <w:i/>
          <w:sz w:val="18"/>
        </w:rPr>
        <w:t>Figure 1.</w:t>
      </w:r>
      <w:proofErr w:type="gramEnd"/>
      <w:r w:rsidRPr="006D1E84">
        <w:rPr>
          <w:rFonts w:ascii="Times New Roman" w:hAnsi="Times New Roman" w:cs="Times New Roman"/>
          <w:i/>
          <w:sz w:val="18"/>
        </w:rPr>
        <w:t xml:space="preserve"> Cumulated release profiles of SFB from designed drug delivery system at different times.</w:t>
      </w:r>
    </w:p>
    <w:p w:rsidR="00EF1F46" w:rsidRDefault="00EF1F46" w:rsidP="00EF1F4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E5A4772">
            <wp:extent cx="1546097" cy="124835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8765" cy="1250509"/>
                    </a:xfrm>
                    <a:prstGeom prst="rect">
                      <a:avLst/>
                    </a:prstGeom>
                    <a:noFill/>
                  </pic:spPr>
                </pic:pic>
              </a:graphicData>
            </a:graphic>
          </wp:inline>
        </w:drawing>
      </w:r>
      <w:r>
        <w:rPr>
          <w:rFonts w:ascii="Times New Roman" w:hAnsi="Times New Roman" w:cs="Times New Roman"/>
          <w:noProof/>
          <w:sz w:val="20"/>
        </w:rPr>
        <w:drawing>
          <wp:inline distT="0" distB="0" distL="0" distR="0" wp14:anchorId="632BD3E6">
            <wp:extent cx="1622066" cy="1255079"/>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1790" cy="1254865"/>
                    </a:xfrm>
                    <a:prstGeom prst="rect">
                      <a:avLst/>
                    </a:prstGeom>
                    <a:noFill/>
                  </pic:spPr>
                </pic:pic>
              </a:graphicData>
            </a:graphic>
          </wp:inline>
        </w:drawing>
      </w:r>
    </w:p>
    <w:p w:rsidR="00EF1F46" w:rsidRPr="006D1E84" w:rsidRDefault="00EF1F46" w:rsidP="00EF1F46">
      <w:pPr>
        <w:jc w:val="center"/>
        <w:rPr>
          <w:rFonts w:ascii="Times New Roman" w:hAnsi="Times New Roman" w:cs="Times New Roman"/>
          <w:i/>
          <w:sz w:val="18"/>
        </w:rPr>
      </w:pPr>
      <w:proofErr w:type="gramStart"/>
      <w:r w:rsidRPr="006D1E84">
        <w:rPr>
          <w:rFonts w:ascii="Times New Roman" w:hAnsi="Times New Roman" w:cs="Times New Roman"/>
          <w:b/>
          <w:i/>
          <w:sz w:val="18"/>
        </w:rPr>
        <w:t>Figure 2.</w:t>
      </w:r>
      <w:proofErr w:type="gramEnd"/>
      <w:r w:rsidRPr="006D1E84">
        <w:rPr>
          <w:rFonts w:ascii="Times New Roman" w:hAnsi="Times New Roman" w:cs="Times New Roman"/>
          <w:i/>
          <w:sz w:val="18"/>
        </w:rPr>
        <w:t xml:space="preserve"> FE-SEM images of original SFB and </w:t>
      </w:r>
      <w:proofErr w:type="spellStart"/>
      <w:r w:rsidRPr="006D1E84">
        <w:rPr>
          <w:rFonts w:ascii="Times New Roman" w:hAnsi="Times New Roman" w:cs="Times New Roman"/>
          <w:i/>
          <w:sz w:val="18"/>
        </w:rPr>
        <w:t>Magnetotocosome</w:t>
      </w:r>
      <w:proofErr w:type="spellEnd"/>
      <w:r w:rsidRPr="006D1E84">
        <w:rPr>
          <w:rFonts w:ascii="Times New Roman" w:hAnsi="Times New Roman" w:cs="Times New Roman"/>
          <w:i/>
          <w:sz w:val="18"/>
        </w:rPr>
        <w:t xml:space="preserve"> suspension.</w:t>
      </w:r>
    </w:p>
    <w:p w:rsidR="006D1E84" w:rsidRPr="006D1E84" w:rsidRDefault="006D1E84" w:rsidP="006D1E84">
      <w:pPr>
        <w:rPr>
          <w:rFonts w:ascii="Times New Roman" w:hAnsi="Times New Roman" w:cs="Times New Roman"/>
          <w:b/>
          <w:sz w:val="24"/>
        </w:rPr>
      </w:pPr>
      <w:r w:rsidRPr="006D1E84">
        <w:rPr>
          <w:rFonts w:ascii="Times New Roman" w:hAnsi="Times New Roman" w:cs="Times New Roman"/>
          <w:b/>
          <w:sz w:val="24"/>
        </w:rPr>
        <w:lastRenderedPageBreak/>
        <w:t>Biography</w:t>
      </w:r>
    </w:p>
    <w:p w:rsidR="006D1E84" w:rsidRPr="00EF1F46" w:rsidRDefault="006D1E84" w:rsidP="006D1E84">
      <w:pPr>
        <w:jc w:val="both"/>
        <w:rPr>
          <w:rFonts w:ascii="Times New Roman" w:hAnsi="Times New Roman" w:cs="Times New Roman"/>
          <w:sz w:val="20"/>
        </w:rPr>
      </w:pPr>
      <w:proofErr w:type="spellStart"/>
      <w:r w:rsidRPr="006D1E84">
        <w:rPr>
          <w:rFonts w:ascii="Times New Roman" w:hAnsi="Times New Roman" w:cs="Times New Roman"/>
          <w:sz w:val="20"/>
        </w:rPr>
        <w:t>Gholamhossein</w:t>
      </w:r>
      <w:proofErr w:type="spellEnd"/>
      <w:r w:rsidRPr="006D1E84">
        <w:rPr>
          <w:rFonts w:ascii="Times New Roman" w:hAnsi="Times New Roman" w:cs="Times New Roman"/>
          <w:sz w:val="20"/>
        </w:rPr>
        <w:t xml:space="preserve"> </w:t>
      </w:r>
      <w:proofErr w:type="spellStart"/>
      <w:r w:rsidRPr="006D1E84">
        <w:rPr>
          <w:rFonts w:ascii="Times New Roman" w:hAnsi="Times New Roman" w:cs="Times New Roman"/>
          <w:sz w:val="20"/>
        </w:rPr>
        <w:t>Sodeifian</w:t>
      </w:r>
      <w:proofErr w:type="spellEnd"/>
      <w:r w:rsidRPr="006D1E84">
        <w:rPr>
          <w:rFonts w:ascii="Times New Roman" w:hAnsi="Times New Roman" w:cs="Times New Roman"/>
          <w:sz w:val="20"/>
        </w:rPr>
        <w:t xml:space="preserve"> (1971) graduated in chemical engineering (M.S) from University of Tehran, in 1997</w:t>
      </w:r>
      <w:r>
        <w:rPr>
          <w:rFonts w:ascii="Times New Roman" w:hAnsi="Times New Roman" w:cs="Times New Roman"/>
          <w:sz w:val="20"/>
        </w:rPr>
        <w:t xml:space="preserve"> and received his doctorate (Ph</w:t>
      </w:r>
      <w:r w:rsidRPr="006D1E84">
        <w:rPr>
          <w:rFonts w:ascii="Times New Roman" w:hAnsi="Times New Roman" w:cs="Times New Roman"/>
          <w:sz w:val="20"/>
        </w:rPr>
        <w:t xml:space="preserve">D), in polymer engineering from </w:t>
      </w:r>
      <w:proofErr w:type="spellStart"/>
      <w:r w:rsidRPr="006D1E84">
        <w:rPr>
          <w:rFonts w:ascii="Times New Roman" w:hAnsi="Times New Roman" w:cs="Times New Roman"/>
          <w:sz w:val="20"/>
        </w:rPr>
        <w:t>Tarbiat</w:t>
      </w:r>
      <w:proofErr w:type="spellEnd"/>
      <w:r w:rsidRPr="006D1E84">
        <w:rPr>
          <w:rFonts w:ascii="Times New Roman" w:hAnsi="Times New Roman" w:cs="Times New Roman"/>
          <w:sz w:val="20"/>
        </w:rPr>
        <w:t xml:space="preserve"> </w:t>
      </w:r>
      <w:proofErr w:type="spellStart"/>
      <w:r w:rsidRPr="006D1E84">
        <w:rPr>
          <w:rFonts w:ascii="Times New Roman" w:hAnsi="Times New Roman" w:cs="Times New Roman"/>
          <w:sz w:val="20"/>
        </w:rPr>
        <w:t>Modares</w:t>
      </w:r>
      <w:proofErr w:type="spellEnd"/>
      <w:r w:rsidRPr="006D1E84">
        <w:rPr>
          <w:rFonts w:ascii="Times New Roman" w:hAnsi="Times New Roman" w:cs="Times New Roman"/>
          <w:sz w:val="20"/>
        </w:rPr>
        <w:t xml:space="preserve"> University, Tehran, in 2002. </w:t>
      </w:r>
      <w:r>
        <w:rPr>
          <w:rFonts w:ascii="Times New Roman" w:hAnsi="Times New Roman" w:cs="Times New Roman"/>
          <w:sz w:val="20"/>
        </w:rPr>
        <w:t>He</w:t>
      </w:r>
      <w:r w:rsidRPr="006D1E84">
        <w:rPr>
          <w:rFonts w:ascii="Times New Roman" w:hAnsi="Times New Roman" w:cs="Times New Roman"/>
          <w:sz w:val="20"/>
        </w:rPr>
        <w:t xml:space="preserve"> is currently academic member of Chemical Engineering Department of University of </w:t>
      </w:r>
      <w:proofErr w:type="spellStart"/>
      <w:r w:rsidRPr="006D1E84">
        <w:rPr>
          <w:rFonts w:ascii="Times New Roman" w:hAnsi="Times New Roman" w:cs="Times New Roman"/>
          <w:sz w:val="20"/>
        </w:rPr>
        <w:t>Kashan</w:t>
      </w:r>
      <w:proofErr w:type="spellEnd"/>
      <w:r w:rsidRPr="006D1E84">
        <w:rPr>
          <w:rFonts w:ascii="Times New Roman" w:hAnsi="Times New Roman" w:cs="Times New Roman"/>
          <w:sz w:val="20"/>
        </w:rPr>
        <w:t>. His research group focused on extraction of essential and seed oils, solubility measuremen</w:t>
      </w:r>
      <w:r>
        <w:rPr>
          <w:rFonts w:ascii="Times New Roman" w:hAnsi="Times New Roman" w:cs="Times New Roman"/>
          <w:sz w:val="20"/>
        </w:rPr>
        <w:t>t of solid medicines and micro</w:t>
      </w:r>
      <w:r w:rsidRPr="006D1E84">
        <w:rPr>
          <w:rFonts w:ascii="Times New Roman" w:hAnsi="Times New Roman" w:cs="Times New Roman"/>
          <w:sz w:val="20"/>
        </w:rPr>
        <w:t xml:space="preserve"> and nanoparticle formation of pharmaceutical materials in Supercritical Carbon Dioxide (SCCO</w:t>
      </w:r>
      <w:r w:rsidRPr="006D1E84">
        <w:rPr>
          <w:rFonts w:ascii="Times New Roman" w:hAnsi="Times New Roman" w:cs="Times New Roman"/>
          <w:sz w:val="20"/>
          <w:vertAlign w:val="subscript"/>
        </w:rPr>
        <w:t>2</w:t>
      </w:r>
      <w:r w:rsidRPr="006D1E84">
        <w:rPr>
          <w:rFonts w:ascii="Times New Roman" w:hAnsi="Times New Roman" w:cs="Times New Roman"/>
          <w:sz w:val="20"/>
        </w:rPr>
        <w:t xml:space="preserve">) </w:t>
      </w:r>
      <w:r w:rsidRPr="006D1E84">
        <w:rPr>
          <w:rFonts w:ascii="Times New Roman" w:hAnsi="Times New Roman" w:cs="Times New Roman"/>
          <w:i/>
          <w:sz w:val="20"/>
        </w:rPr>
        <w:t>via</w:t>
      </w:r>
      <w:r w:rsidRPr="006D1E84">
        <w:rPr>
          <w:rFonts w:ascii="Times New Roman" w:hAnsi="Times New Roman" w:cs="Times New Roman"/>
          <w:sz w:val="20"/>
        </w:rPr>
        <w:t xml:space="preserve"> various methods. He has also developed, for the first time in the world; a new and efficient technique for nanoparticle formation, i.e., Ultrasonic assisted Rapid Expansion of Supercritical Solution into a Liquid Solvent (US-RESOLV). He has published more than 83 ISI scientific papers and several books. Furthermore, he has developed </w:t>
      </w:r>
      <w:proofErr w:type="spellStart"/>
      <w:r w:rsidRPr="006D1E84">
        <w:rPr>
          <w:rFonts w:ascii="Times New Roman" w:hAnsi="Times New Roman" w:cs="Times New Roman"/>
          <w:sz w:val="20"/>
        </w:rPr>
        <w:t>Sodeifian’s</w:t>
      </w:r>
      <w:proofErr w:type="spellEnd"/>
      <w:r w:rsidRPr="006D1E84">
        <w:rPr>
          <w:rFonts w:ascii="Times New Roman" w:hAnsi="Times New Roman" w:cs="Times New Roman"/>
          <w:sz w:val="20"/>
        </w:rPr>
        <w:t xml:space="preserve"> model for drugs solubility. </w:t>
      </w:r>
      <w:r>
        <w:rPr>
          <w:rFonts w:ascii="Times New Roman" w:hAnsi="Times New Roman" w:cs="Times New Roman"/>
          <w:sz w:val="20"/>
        </w:rPr>
        <w:t>He</w:t>
      </w:r>
      <w:r w:rsidRPr="006D1E84">
        <w:rPr>
          <w:rFonts w:ascii="Times New Roman" w:hAnsi="Times New Roman" w:cs="Times New Roman"/>
          <w:sz w:val="20"/>
        </w:rPr>
        <w:t xml:space="preserve"> has been assigned and included in the worlds’ top 2% of scientists list in 2021 and 2022.</w:t>
      </w:r>
    </w:p>
    <w:sectPr w:rsidR="006D1E84" w:rsidRPr="00EF1F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F46"/>
    <w:rsid w:val="0032354D"/>
    <w:rsid w:val="00474203"/>
    <w:rsid w:val="00535872"/>
    <w:rsid w:val="006D1E84"/>
    <w:rsid w:val="00703302"/>
    <w:rsid w:val="00924B33"/>
    <w:rsid w:val="00EF1F46"/>
    <w:rsid w:val="00FB1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1F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1F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1F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1F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2023-02-24T08:26:00Z</dcterms:created>
  <dcterms:modified xsi:type="dcterms:W3CDTF">2023-02-24T08:48:00Z</dcterms:modified>
</cp:coreProperties>
</file>