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273" w:rsidRPr="00C36273" w:rsidRDefault="00C36273" w:rsidP="00C36273">
      <w:pPr>
        <w:rPr>
          <w:rFonts w:ascii="Times New Roman" w:hAnsi="Times New Roman" w:cs="Times New Roman"/>
          <w:b/>
          <w:sz w:val="32"/>
        </w:rPr>
      </w:pPr>
      <w:r w:rsidRPr="00C36273">
        <w:rPr>
          <w:rFonts w:ascii="Times New Roman" w:hAnsi="Times New Roman" w:cs="Times New Roman"/>
          <w:b/>
          <w:sz w:val="32"/>
        </w:rPr>
        <w:t>Experimental study on sildenafil citrate drug solubility in supercritical carbon dioxide</w:t>
      </w:r>
    </w:p>
    <w:p w:rsidR="00C36273" w:rsidRPr="00C36273" w:rsidRDefault="00C36273" w:rsidP="00C36273">
      <w:pPr>
        <w:rPr>
          <w:rFonts w:ascii="Times New Roman" w:hAnsi="Times New Roman" w:cs="Times New Roman"/>
          <w:sz w:val="24"/>
        </w:rPr>
      </w:pPr>
      <w:proofErr w:type="spellStart"/>
      <w:r w:rsidRPr="00C36273">
        <w:rPr>
          <w:rFonts w:ascii="Times New Roman" w:hAnsi="Times New Roman" w:cs="Times New Roman"/>
          <w:sz w:val="24"/>
        </w:rPr>
        <w:t>Gholamhossein</w:t>
      </w:r>
      <w:proofErr w:type="spellEnd"/>
      <w:r w:rsidRPr="00C36273">
        <w:rPr>
          <w:rFonts w:ascii="Times New Roman" w:hAnsi="Times New Roman" w:cs="Times New Roman"/>
          <w:sz w:val="24"/>
        </w:rPr>
        <w:t xml:space="preserve"> </w:t>
      </w:r>
      <w:proofErr w:type="spellStart"/>
      <w:r w:rsidRPr="00C36273">
        <w:rPr>
          <w:rFonts w:ascii="Times New Roman" w:hAnsi="Times New Roman" w:cs="Times New Roman"/>
          <w:sz w:val="24"/>
        </w:rPr>
        <w:t>Sodeifian</w:t>
      </w:r>
      <w:proofErr w:type="spellEnd"/>
    </w:p>
    <w:p w:rsidR="00C36273" w:rsidRPr="00C36273" w:rsidRDefault="00C36273" w:rsidP="00C36273">
      <w:pPr>
        <w:rPr>
          <w:rFonts w:ascii="Times New Roman" w:hAnsi="Times New Roman" w:cs="Times New Roman"/>
        </w:rPr>
      </w:pPr>
      <w:r w:rsidRPr="00C36273">
        <w:rPr>
          <w:rFonts w:ascii="Times New Roman" w:hAnsi="Times New Roman" w:cs="Times New Roman"/>
        </w:rPr>
        <w:t xml:space="preserve">University of </w:t>
      </w:r>
      <w:proofErr w:type="spellStart"/>
      <w:r w:rsidRPr="00C36273">
        <w:rPr>
          <w:rFonts w:ascii="Times New Roman" w:hAnsi="Times New Roman" w:cs="Times New Roman"/>
        </w:rPr>
        <w:t>Kashan</w:t>
      </w:r>
      <w:proofErr w:type="spellEnd"/>
      <w:r w:rsidRPr="00C36273">
        <w:rPr>
          <w:rFonts w:ascii="Times New Roman" w:hAnsi="Times New Roman" w:cs="Times New Roman"/>
        </w:rPr>
        <w:t>, Iran</w:t>
      </w:r>
    </w:p>
    <w:p w:rsidR="00C36273" w:rsidRPr="00C36273" w:rsidRDefault="00C36273" w:rsidP="00C36273">
      <w:pPr>
        <w:jc w:val="center"/>
        <w:rPr>
          <w:rFonts w:ascii="Times New Roman" w:hAnsi="Times New Roman" w:cs="Times New Roman"/>
          <w:b/>
          <w:sz w:val="24"/>
        </w:rPr>
      </w:pPr>
      <w:r w:rsidRPr="00C36273">
        <w:rPr>
          <w:rFonts w:ascii="Times New Roman" w:hAnsi="Times New Roman" w:cs="Times New Roman"/>
          <w:b/>
          <w:sz w:val="24"/>
        </w:rPr>
        <w:t>Abstract</w:t>
      </w:r>
    </w:p>
    <w:p w:rsidR="00C36273" w:rsidRPr="00C36273" w:rsidRDefault="00C36273" w:rsidP="00C36273">
      <w:pPr>
        <w:jc w:val="both"/>
        <w:rPr>
          <w:rFonts w:ascii="Times New Roman" w:hAnsi="Times New Roman" w:cs="Times New Roman"/>
          <w:sz w:val="20"/>
        </w:rPr>
      </w:pPr>
      <w:r w:rsidRPr="00C36273">
        <w:rPr>
          <w:rFonts w:ascii="Times New Roman" w:hAnsi="Times New Roman" w:cs="Times New Roman"/>
          <w:b/>
          <w:sz w:val="20"/>
        </w:rPr>
        <w:t>Statement of the problem:</w:t>
      </w:r>
      <w:r w:rsidRPr="00C36273">
        <w:rPr>
          <w:rFonts w:ascii="Times New Roman" w:hAnsi="Times New Roman" w:cs="Times New Roman"/>
          <w:sz w:val="20"/>
        </w:rPr>
        <w:t xml:space="preserve"> According to the sexual dysfunction definitions, erectile dysfunction is the persistent inability to get and maintain an erection for satisfactory sexual performance. Among available methods for treatment, oral medications are the most common. In this regard, sildenafil citrate belongs to a class of medications called </w:t>
      </w:r>
      <w:proofErr w:type="spellStart"/>
      <w:r w:rsidRPr="00C36273">
        <w:rPr>
          <w:rFonts w:ascii="Times New Roman" w:hAnsi="Times New Roman" w:cs="Times New Roman"/>
          <w:sz w:val="20"/>
        </w:rPr>
        <w:t>Phosphodiesterase</w:t>
      </w:r>
      <w:proofErr w:type="spellEnd"/>
      <w:r w:rsidRPr="00C36273">
        <w:rPr>
          <w:rFonts w:ascii="Times New Roman" w:hAnsi="Times New Roman" w:cs="Times New Roman"/>
          <w:sz w:val="20"/>
        </w:rPr>
        <w:t xml:space="preserve"> </w:t>
      </w:r>
      <w:r w:rsidRPr="00C36273">
        <w:rPr>
          <w:rFonts w:ascii="Times New Roman" w:hAnsi="Times New Roman" w:cs="Times New Roman"/>
          <w:sz w:val="20"/>
        </w:rPr>
        <w:t>type 5 (PDE 5) inhibitors, which can restore the natural process of erection. Despite rapid absorption after administration, absolute bioa</w:t>
      </w:r>
      <w:bookmarkStart w:id="0" w:name="_GoBack"/>
      <w:bookmarkEnd w:id="0"/>
      <w:r w:rsidRPr="00C36273">
        <w:rPr>
          <w:rFonts w:ascii="Times New Roman" w:hAnsi="Times New Roman" w:cs="Times New Roman"/>
          <w:sz w:val="20"/>
        </w:rPr>
        <w:t>vailability of sildenafil citr</w:t>
      </w:r>
      <w:r>
        <w:rPr>
          <w:rFonts w:ascii="Times New Roman" w:hAnsi="Times New Roman" w:cs="Times New Roman"/>
          <w:sz w:val="20"/>
        </w:rPr>
        <w:t>ate has been reported about 40%</w:t>
      </w:r>
      <w:r w:rsidRPr="00C36273">
        <w:rPr>
          <w:rFonts w:ascii="Times New Roman" w:hAnsi="Times New Roman" w:cs="Times New Roman"/>
          <w:sz w:val="20"/>
        </w:rPr>
        <w:t xml:space="preserve">. One of solutions to improve the bioavailability of this medicine is production of nanoparticles </w:t>
      </w:r>
      <w:r w:rsidRPr="00434A22">
        <w:rPr>
          <w:rFonts w:ascii="Times New Roman" w:hAnsi="Times New Roman" w:cs="Times New Roman"/>
          <w:i/>
          <w:sz w:val="20"/>
        </w:rPr>
        <w:t>via</w:t>
      </w:r>
      <w:r w:rsidRPr="00C36273">
        <w:rPr>
          <w:rFonts w:ascii="Times New Roman" w:hAnsi="Times New Roman" w:cs="Times New Roman"/>
          <w:sz w:val="20"/>
        </w:rPr>
        <w:t xml:space="preserve"> supercritical fluid-based technologies. To follow these technologies, knowledge of solubility of sildenafil citrate in the supercritical fluid at different temperatures and pressures, is the first step. However, experimental performances at various operating conditions are usually impractical. Therefore, application of an acceptable theoretical approach such as semi-empirical models would be found beneficial.</w:t>
      </w:r>
    </w:p>
    <w:p w:rsidR="00C36273" w:rsidRDefault="00C36273" w:rsidP="00C36273">
      <w:pPr>
        <w:jc w:val="both"/>
        <w:rPr>
          <w:rFonts w:ascii="Times New Roman" w:hAnsi="Times New Roman" w:cs="Times New Roman"/>
          <w:sz w:val="20"/>
        </w:rPr>
      </w:pPr>
      <w:r w:rsidRPr="00C36273">
        <w:rPr>
          <w:rFonts w:ascii="Times New Roman" w:hAnsi="Times New Roman" w:cs="Times New Roman"/>
          <w:b/>
          <w:sz w:val="20"/>
        </w:rPr>
        <w:t>Methodology and theoretical orientation:</w:t>
      </w:r>
      <w:r w:rsidRPr="00C36273">
        <w:rPr>
          <w:rFonts w:ascii="Times New Roman" w:hAnsi="Times New Roman" w:cs="Times New Roman"/>
          <w:sz w:val="20"/>
        </w:rPr>
        <w:t xml:space="preserve"> This study is aimed to measure the solubility of sildenafil citrate in </w:t>
      </w:r>
      <w:r w:rsidRPr="00C36273">
        <w:rPr>
          <w:rFonts w:ascii="Times New Roman" w:hAnsi="Times New Roman" w:cs="Times New Roman"/>
          <w:sz w:val="20"/>
        </w:rPr>
        <w:t xml:space="preserve">Supercritical Carbon Dioxide </w:t>
      </w:r>
      <w:r w:rsidRPr="00C36273">
        <w:rPr>
          <w:rFonts w:ascii="Times New Roman" w:hAnsi="Times New Roman" w:cs="Times New Roman"/>
          <w:sz w:val="20"/>
        </w:rPr>
        <w:t>(SCCO</w:t>
      </w:r>
      <w:r w:rsidRPr="00C36273">
        <w:rPr>
          <w:rFonts w:ascii="Times New Roman" w:hAnsi="Times New Roman" w:cs="Times New Roman"/>
          <w:sz w:val="20"/>
          <w:vertAlign w:val="subscript"/>
        </w:rPr>
        <w:t>2</w:t>
      </w:r>
      <w:r w:rsidRPr="00C36273">
        <w:rPr>
          <w:rFonts w:ascii="Times New Roman" w:hAnsi="Times New Roman" w:cs="Times New Roman"/>
          <w:sz w:val="20"/>
        </w:rPr>
        <w:t>) at equilibrium conditions of 308-338 K and 120-270 bar</w:t>
      </w:r>
      <w:r>
        <w:rPr>
          <w:rFonts w:ascii="Times New Roman" w:hAnsi="Times New Roman" w:cs="Times New Roman"/>
          <w:sz w:val="20"/>
        </w:rPr>
        <w:t xml:space="preserve"> [Figure 1]</w:t>
      </w:r>
      <w:r w:rsidRPr="00C36273">
        <w:rPr>
          <w:rFonts w:ascii="Times New Roman" w:hAnsi="Times New Roman" w:cs="Times New Roman"/>
          <w:sz w:val="20"/>
        </w:rPr>
        <w:t xml:space="preserve">. Afterwards, </w:t>
      </w:r>
      <w:proofErr w:type="spellStart"/>
      <w:r w:rsidRPr="00C36273">
        <w:rPr>
          <w:rFonts w:ascii="Times New Roman" w:hAnsi="Times New Roman" w:cs="Times New Roman"/>
          <w:sz w:val="20"/>
        </w:rPr>
        <w:t>Sodeifian’s</w:t>
      </w:r>
      <w:proofErr w:type="spellEnd"/>
      <w:r w:rsidRPr="00C36273">
        <w:rPr>
          <w:rFonts w:ascii="Times New Roman" w:hAnsi="Times New Roman" w:cs="Times New Roman"/>
          <w:sz w:val="20"/>
        </w:rPr>
        <w:t xml:space="preserve"> model as a semi-empirical model was applied to correlate the obtained solubility data. Using the function of </w:t>
      </w:r>
      <w:r w:rsidRPr="00C36273">
        <w:rPr>
          <w:rFonts w:ascii="Times New Roman" w:hAnsi="Times New Roman" w:cs="Times New Roman"/>
          <w:sz w:val="20"/>
        </w:rPr>
        <w:t xml:space="preserve">Absolute Average Relative Deviation </w:t>
      </w:r>
      <w:r w:rsidRPr="00C36273">
        <w:rPr>
          <w:rFonts w:ascii="Times New Roman" w:hAnsi="Times New Roman" w:cs="Times New Roman"/>
          <w:sz w:val="20"/>
        </w:rPr>
        <w:t>(</w:t>
      </w:r>
      <w:proofErr w:type="gramStart"/>
      <w:r w:rsidRPr="00C36273">
        <w:rPr>
          <w:rFonts w:ascii="Times New Roman" w:hAnsi="Times New Roman" w:cs="Times New Roman"/>
          <w:sz w:val="20"/>
        </w:rPr>
        <w:t>AARD%</w:t>
      </w:r>
      <w:proofErr w:type="gramEnd"/>
      <w:r w:rsidRPr="00C36273">
        <w:rPr>
          <w:rFonts w:ascii="Times New Roman" w:hAnsi="Times New Roman" w:cs="Times New Roman"/>
          <w:sz w:val="20"/>
        </w:rPr>
        <w:t>), a statistical criteria, the correlating ability of this model was evaluated. More information on procedure and formulas are available elsewhere.</w:t>
      </w:r>
    </w:p>
    <w:p w:rsidR="00C36273" w:rsidRDefault="00C36273" w:rsidP="00C36273">
      <w:pPr>
        <w:spacing w:before="200"/>
        <w:jc w:val="center"/>
        <w:rPr>
          <w:rFonts w:ascii="Times New Roman" w:hAnsi="Times New Roman" w:cs="Times New Roman"/>
          <w:sz w:val="20"/>
        </w:rPr>
      </w:pPr>
      <w:r>
        <w:rPr>
          <w:rFonts w:ascii="Times New Roman" w:hAnsi="Times New Roman" w:cs="Times New Roman"/>
          <w:noProof/>
          <w:sz w:val="20"/>
        </w:rPr>
        <w:drawing>
          <wp:inline distT="0" distB="0" distL="0" distR="0" wp14:anchorId="54794047" wp14:editId="4AA3B790">
            <wp:extent cx="3420110" cy="19812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20110" cy="1981200"/>
                    </a:xfrm>
                    <a:prstGeom prst="rect">
                      <a:avLst/>
                    </a:prstGeom>
                    <a:noFill/>
                  </pic:spPr>
                </pic:pic>
              </a:graphicData>
            </a:graphic>
          </wp:inline>
        </w:drawing>
      </w:r>
    </w:p>
    <w:p w:rsidR="00C36273" w:rsidRPr="00C36273" w:rsidRDefault="00C36273" w:rsidP="00C36273">
      <w:pPr>
        <w:spacing w:before="200"/>
        <w:jc w:val="center"/>
        <w:rPr>
          <w:rFonts w:ascii="Times New Roman" w:hAnsi="Times New Roman" w:cs="Times New Roman"/>
          <w:i/>
          <w:sz w:val="18"/>
        </w:rPr>
      </w:pPr>
      <w:proofErr w:type="gramStart"/>
      <w:r w:rsidRPr="00C36273">
        <w:rPr>
          <w:rFonts w:ascii="Times New Roman" w:hAnsi="Times New Roman" w:cs="Times New Roman"/>
          <w:b/>
          <w:i/>
          <w:sz w:val="18"/>
        </w:rPr>
        <w:t>Figure 1.</w:t>
      </w:r>
      <w:proofErr w:type="gramEnd"/>
      <w:r w:rsidRPr="00C36273">
        <w:rPr>
          <w:rFonts w:ascii="Times New Roman" w:hAnsi="Times New Roman" w:cs="Times New Roman"/>
          <w:i/>
          <w:sz w:val="18"/>
        </w:rPr>
        <w:t xml:space="preserve"> </w:t>
      </w:r>
      <w:proofErr w:type="gramStart"/>
      <w:r w:rsidRPr="00C36273">
        <w:rPr>
          <w:rFonts w:ascii="Times New Roman" w:hAnsi="Times New Roman" w:cs="Times New Roman"/>
          <w:i/>
          <w:sz w:val="18"/>
        </w:rPr>
        <w:t>Experimental data for sildenafil citrate solubility in SCCO</w:t>
      </w:r>
      <w:r w:rsidRPr="00C36273">
        <w:rPr>
          <w:rFonts w:ascii="Times New Roman" w:hAnsi="Times New Roman" w:cs="Times New Roman"/>
          <w:i/>
          <w:sz w:val="18"/>
          <w:vertAlign w:val="subscript"/>
        </w:rPr>
        <w:t>2</w:t>
      </w:r>
      <w:r w:rsidRPr="00C36273">
        <w:rPr>
          <w:rFonts w:ascii="Times New Roman" w:hAnsi="Times New Roman" w:cs="Times New Roman"/>
          <w:i/>
          <w:sz w:val="18"/>
        </w:rPr>
        <w:t>.</w:t>
      </w:r>
      <w:proofErr w:type="gramEnd"/>
    </w:p>
    <w:p w:rsidR="00C36273" w:rsidRDefault="00C36273" w:rsidP="00C36273">
      <w:pPr>
        <w:jc w:val="both"/>
        <w:rPr>
          <w:rFonts w:ascii="Times New Roman" w:hAnsi="Times New Roman" w:cs="Times New Roman"/>
          <w:sz w:val="20"/>
        </w:rPr>
      </w:pPr>
      <w:r w:rsidRPr="00C36273">
        <w:rPr>
          <w:rFonts w:ascii="Times New Roman" w:hAnsi="Times New Roman" w:cs="Times New Roman"/>
          <w:b/>
          <w:sz w:val="20"/>
        </w:rPr>
        <w:t>Findings:</w:t>
      </w:r>
      <w:r w:rsidRPr="00C36273">
        <w:rPr>
          <w:rFonts w:ascii="Times New Roman" w:hAnsi="Times New Roman" w:cs="Times New Roman"/>
          <w:sz w:val="20"/>
        </w:rPr>
        <w:t xml:space="preserve"> The minimum and maximum solubility data, in terms of equilibrium mole fraction were 0.14×106 and 5.91×106, respectively. With respect to the obtained experimental data, crossover pressure point was observed near 230 </w:t>
      </w:r>
      <w:r w:rsidRPr="00C36273">
        <w:rPr>
          <w:rFonts w:ascii="Times New Roman" w:hAnsi="Times New Roman" w:cs="Times New Roman"/>
          <w:sz w:val="20"/>
        </w:rPr>
        <w:t>bars</w:t>
      </w:r>
      <w:r w:rsidRPr="00C36273">
        <w:rPr>
          <w:rFonts w:ascii="Times New Roman" w:hAnsi="Times New Roman" w:cs="Times New Roman"/>
          <w:sz w:val="20"/>
        </w:rPr>
        <w:t xml:space="preserve">. Besides, </w:t>
      </w:r>
      <w:proofErr w:type="spellStart"/>
      <w:r w:rsidRPr="00C36273">
        <w:rPr>
          <w:rFonts w:ascii="Times New Roman" w:hAnsi="Times New Roman" w:cs="Times New Roman"/>
          <w:sz w:val="20"/>
        </w:rPr>
        <w:t>Sodeifian’s</w:t>
      </w:r>
      <w:proofErr w:type="spellEnd"/>
      <w:r w:rsidRPr="00C36273">
        <w:rPr>
          <w:rFonts w:ascii="Times New Roman" w:hAnsi="Times New Roman" w:cs="Times New Roman"/>
          <w:sz w:val="20"/>
        </w:rPr>
        <w:t xml:space="preserve"> model showed an acceptable ability for correlating the data with an AARD% of</w:t>
      </w:r>
      <w:r w:rsidR="00434A22">
        <w:rPr>
          <w:rFonts w:ascii="Times New Roman" w:hAnsi="Times New Roman" w:cs="Times New Roman"/>
          <w:sz w:val="20"/>
        </w:rPr>
        <w:t xml:space="preserve"> </w:t>
      </w:r>
      <w:r w:rsidRPr="00C36273">
        <w:rPr>
          <w:rFonts w:ascii="Times New Roman" w:hAnsi="Times New Roman" w:cs="Times New Roman"/>
          <w:sz w:val="20"/>
        </w:rPr>
        <w:t>10.49%. The correlative constants of the model for sildenafil citrate are presented below:</w:t>
      </w:r>
    </w:p>
    <w:tbl>
      <w:tblPr>
        <w:tblStyle w:val="TableGrid1"/>
        <w:tblW w:w="4418" w:type="dxa"/>
        <w:jc w:val="center"/>
        <w:tblInd w:w="432" w:type="dxa"/>
        <w:tblBorders>
          <w:left w:val="none" w:sz="0" w:space="0" w:color="auto"/>
          <w:right w:val="none" w:sz="0" w:space="0" w:color="auto"/>
          <w:insideV w:val="none" w:sz="0" w:space="0" w:color="auto"/>
        </w:tblBorders>
        <w:tblLook w:val="04A0" w:firstRow="1" w:lastRow="0" w:firstColumn="1" w:lastColumn="0" w:noHBand="0" w:noVBand="1"/>
      </w:tblPr>
      <w:tblGrid>
        <w:gridCol w:w="732"/>
        <w:gridCol w:w="738"/>
        <w:gridCol w:w="737"/>
        <w:gridCol w:w="737"/>
        <w:gridCol w:w="737"/>
        <w:gridCol w:w="737"/>
      </w:tblGrid>
      <w:tr w:rsidR="00C36273" w:rsidRPr="00C36273" w:rsidTr="00C36273">
        <w:trPr>
          <w:jc w:val="center"/>
        </w:trPr>
        <w:tc>
          <w:tcPr>
            <w:tcW w:w="732" w:type="dxa"/>
            <w:vAlign w:val="center"/>
          </w:tcPr>
          <w:p w:rsidR="00C36273" w:rsidRPr="00C36273" w:rsidRDefault="00C36273" w:rsidP="00C36273">
            <w:pPr>
              <w:spacing w:before="100" w:beforeAutospacing="1" w:after="100" w:afterAutospacing="1" w:line="280" w:lineRule="auto"/>
              <w:jc w:val="center"/>
              <w:rPr>
                <w:rFonts w:ascii="Arial" w:eastAsia="Tw Cen MT" w:hAnsi="Arial" w:cs="Arial"/>
                <w:sz w:val="14"/>
                <w:szCs w:val="14"/>
              </w:rPr>
            </w:pPr>
            <w:r w:rsidRPr="00C36273">
              <w:rPr>
                <w:rFonts w:ascii="Arial" w:eastAsia="Tw Cen MT" w:hAnsi="Arial" w:cs="Arial"/>
                <w:sz w:val="14"/>
                <w:szCs w:val="14"/>
              </w:rPr>
              <w:t>a</w:t>
            </w:r>
            <w:r w:rsidRPr="00C36273">
              <w:rPr>
                <w:rFonts w:ascii="Arial" w:eastAsia="Tw Cen MT" w:hAnsi="Arial" w:cs="Arial"/>
                <w:sz w:val="14"/>
                <w:szCs w:val="14"/>
                <w:vertAlign w:val="subscript"/>
              </w:rPr>
              <w:t>0</w:t>
            </w:r>
          </w:p>
        </w:tc>
        <w:tc>
          <w:tcPr>
            <w:tcW w:w="738" w:type="dxa"/>
            <w:vAlign w:val="center"/>
          </w:tcPr>
          <w:p w:rsidR="00C36273" w:rsidRPr="00C36273" w:rsidRDefault="00C36273" w:rsidP="00C36273">
            <w:pPr>
              <w:spacing w:before="100" w:beforeAutospacing="1" w:after="100" w:afterAutospacing="1" w:line="280" w:lineRule="auto"/>
              <w:jc w:val="center"/>
              <w:rPr>
                <w:rFonts w:ascii="Arial" w:eastAsia="Tw Cen MT" w:hAnsi="Arial" w:cs="Arial"/>
                <w:sz w:val="14"/>
                <w:szCs w:val="14"/>
              </w:rPr>
            </w:pPr>
            <w:r w:rsidRPr="00C36273">
              <w:rPr>
                <w:rFonts w:ascii="Arial" w:eastAsia="Tw Cen MT" w:hAnsi="Arial" w:cs="Arial"/>
                <w:sz w:val="14"/>
                <w:szCs w:val="14"/>
              </w:rPr>
              <w:t>a</w:t>
            </w:r>
            <w:r w:rsidRPr="00C36273">
              <w:rPr>
                <w:rFonts w:ascii="Arial" w:eastAsia="Tw Cen MT" w:hAnsi="Arial" w:cs="Arial"/>
                <w:sz w:val="14"/>
                <w:szCs w:val="14"/>
                <w:vertAlign w:val="subscript"/>
              </w:rPr>
              <w:t>1</w:t>
            </w:r>
          </w:p>
        </w:tc>
        <w:tc>
          <w:tcPr>
            <w:tcW w:w="737" w:type="dxa"/>
            <w:vAlign w:val="center"/>
          </w:tcPr>
          <w:p w:rsidR="00C36273" w:rsidRPr="00C36273" w:rsidRDefault="00C36273" w:rsidP="00C36273">
            <w:pPr>
              <w:spacing w:before="100" w:beforeAutospacing="1" w:after="100" w:afterAutospacing="1" w:line="280" w:lineRule="auto"/>
              <w:jc w:val="center"/>
              <w:rPr>
                <w:rFonts w:ascii="Arial" w:eastAsia="Tw Cen MT" w:hAnsi="Arial" w:cs="Arial"/>
                <w:sz w:val="14"/>
                <w:szCs w:val="14"/>
              </w:rPr>
            </w:pPr>
            <w:r w:rsidRPr="00C36273">
              <w:rPr>
                <w:rFonts w:ascii="Arial" w:eastAsia="Tw Cen MT" w:hAnsi="Arial" w:cs="Arial"/>
                <w:sz w:val="14"/>
                <w:szCs w:val="14"/>
              </w:rPr>
              <w:t>a</w:t>
            </w:r>
            <w:r w:rsidRPr="00C36273">
              <w:rPr>
                <w:rFonts w:ascii="Arial" w:eastAsia="Tw Cen MT" w:hAnsi="Arial" w:cs="Arial"/>
                <w:sz w:val="14"/>
                <w:szCs w:val="14"/>
                <w:vertAlign w:val="subscript"/>
              </w:rPr>
              <w:t>2</w:t>
            </w:r>
          </w:p>
        </w:tc>
        <w:tc>
          <w:tcPr>
            <w:tcW w:w="737" w:type="dxa"/>
            <w:vAlign w:val="center"/>
          </w:tcPr>
          <w:p w:rsidR="00C36273" w:rsidRPr="00C36273" w:rsidRDefault="00C36273" w:rsidP="00C36273">
            <w:pPr>
              <w:spacing w:before="100" w:beforeAutospacing="1" w:after="100" w:afterAutospacing="1" w:line="280" w:lineRule="auto"/>
              <w:jc w:val="center"/>
              <w:rPr>
                <w:rFonts w:ascii="Arial" w:eastAsia="Tw Cen MT" w:hAnsi="Arial" w:cs="Arial"/>
                <w:sz w:val="14"/>
                <w:szCs w:val="14"/>
              </w:rPr>
            </w:pPr>
            <w:r w:rsidRPr="00C36273">
              <w:rPr>
                <w:rFonts w:ascii="Arial" w:eastAsia="Tw Cen MT" w:hAnsi="Arial" w:cs="Arial"/>
                <w:sz w:val="14"/>
                <w:szCs w:val="14"/>
              </w:rPr>
              <w:t>a</w:t>
            </w:r>
            <w:r w:rsidRPr="00C36273">
              <w:rPr>
                <w:rFonts w:ascii="Arial" w:eastAsia="Tw Cen MT" w:hAnsi="Arial" w:cs="Arial"/>
                <w:sz w:val="14"/>
                <w:szCs w:val="14"/>
                <w:vertAlign w:val="subscript"/>
              </w:rPr>
              <w:t>3</w:t>
            </w:r>
          </w:p>
        </w:tc>
        <w:tc>
          <w:tcPr>
            <w:tcW w:w="737" w:type="dxa"/>
            <w:vAlign w:val="center"/>
          </w:tcPr>
          <w:p w:rsidR="00C36273" w:rsidRPr="00C36273" w:rsidRDefault="00C36273" w:rsidP="00C36273">
            <w:pPr>
              <w:spacing w:before="100" w:beforeAutospacing="1" w:after="100" w:afterAutospacing="1" w:line="280" w:lineRule="auto"/>
              <w:jc w:val="center"/>
              <w:rPr>
                <w:rFonts w:ascii="Arial" w:eastAsia="Tw Cen MT" w:hAnsi="Arial" w:cs="Arial"/>
                <w:sz w:val="14"/>
                <w:szCs w:val="14"/>
              </w:rPr>
            </w:pPr>
            <w:r w:rsidRPr="00C36273">
              <w:rPr>
                <w:rFonts w:ascii="Arial" w:eastAsia="Tw Cen MT" w:hAnsi="Arial" w:cs="Arial"/>
                <w:sz w:val="14"/>
                <w:szCs w:val="14"/>
              </w:rPr>
              <w:t>a</w:t>
            </w:r>
            <w:r w:rsidRPr="00C36273">
              <w:rPr>
                <w:rFonts w:ascii="Arial" w:eastAsia="Tw Cen MT" w:hAnsi="Arial" w:cs="Arial"/>
                <w:sz w:val="14"/>
                <w:szCs w:val="14"/>
                <w:vertAlign w:val="subscript"/>
              </w:rPr>
              <w:t>4</w:t>
            </w:r>
          </w:p>
        </w:tc>
        <w:tc>
          <w:tcPr>
            <w:tcW w:w="737" w:type="dxa"/>
            <w:vAlign w:val="center"/>
          </w:tcPr>
          <w:p w:rsidR="00C36273" w:rsidRPr="00C36273" w:rsidRDefault="00C36273" w:rsidP="00C36273">
            <w:pPr>
              <w:spacing w:before="100" w:beforeAutospacing="1" w:after="100" w:afterAutospacing="1" w:line="280" w:lineRule="auto"/>
              <w:jc w:val="center"/>
              <w:rPr>
                <w:rFonts w:ascii="Arial" w:eastAsia="Tw Cen MT" w:hAnsi="Arial" w:cs="Arial"/>
                <w:sz w:val="14"/>
                <w:szCs w:val="14"/>
              </w:rPr>
            </w:pPr>
            <w:r w:rsidRPr="00C36273">
              <w:rPr>
                <w:rFonts w:ascii="Arial" w:eastAsia="Tw Cen MT" w:hAnsi="Arial" w:cs="Arial"/>
                <w:sz w:val="14"/>
                <w:szCs w:val="14"/>
              </w:rPr>
              <w:t>a</w:t>
            </w:r>
            <w:r w:rsidRPr="00C36273">
              <w:rPr>
                <w:rFonts w:ascii="Arial" w:eastAsia="Tw Cen MT" w:hAnsi="Arial" w:cs="Arial"/>
                <w:sz w:val="14"/>
                <w:szCs w:val="14"/>
                <w:vertAlign w:val="subscript"/>
              </w:rPr>
              <w:t>5</w:t>
            </w:r>
          </w:p>
        </w:tc>
      </w:tr>
      <w:tr w:rsidR="00C36273" w:rsidRPr="00C36273" w:rsidTr="00C36273">
        <w:trPr>
          <w:jc w:val="center"/>
        </w:trPr>
        <w:tc>
          <w:tcPr>
            <w:tcW w:w="732" w:type="dxa"/>
            <w:vAlign w:val="center"/>
          </w:tcPr>
          <w:p w:rsidR="00C36273" w:rsidRPr="00C36273" w:rsidRDefault="00C36273" w:rsidP="00C36273">
            <w:pPr>
              <w:spacing w:before="100" w:beforeAutospacing="1" w:after="100" w:afterAutospacing="1" w:line="280" w:lineRule="auto"/>
              <w:jc w:val="center"/>
              <w:rPr>
                <w:rFonts w:ascii="Arial" w:eastAsia="Tw Cen MT" w:hAnsi="Arial" w:cs="Arial"/>
                <w:sz w:val="14"/>
                <w:szCs w:val="14"/>
              </w:rPr>
            </w:pPr>
            <w:r w:rsidRPr="00C36273">
              <w:rPr>
                <w:rFonts w:ascii="Arial" w:eastAsia="Tw Cen MT" w:hAnsi="Arial" w:cs="Arial"/>
                <w:sz w:val="14"/>
                <w:szCs w:val="14"/>
              </w:rPr>
              <w:t>-3.06</w:t>
            </w:r>
          </w:p>
        </w:tc>
        <w:tc>
          <w:tcPr>
            <w:tcW w:w="738" w:type="dxa"/>
            <w:vAlign w:val="center"/>
          </w:tcPr>
          <w:p w:rsidR="00C36273" w:rsidRPr="00C36273" w:rsidRDefault="00C36273" w:rsidP="00C36273">
            <w:pPr>
              <w:spacing w:before="100" w:beforeAutospacing="1" w:after="100" w:afterAutospacing="1" w:line="280" w:lineRule="auto"/>
              <w:jc w:val="center"/>
              <w:rPr>
                <w:rFonts w:ascii="Arial" w:eastAsia="Tw Cen MT" w:hAnsi="Arial" w:cs="Arial"/>
                <w:sz w:val="14"/>
                <w:szCs w:val="14"/>
              </w:rPr>
            </w:pPr>
            <w:r w:rsidRPr="00C36273">
              <w:rPr>
                <w:rFonts w:ascii="Arial" w:eastAsia="Tw Cen MT" w:hAnsi="Arial" w:cs="Arial"/>
                <w:sz w:val="14"/>
                <w:szCs w:val="14"/>
              </w:rPr>
              <w:t>0.075</w:t>
            </w:r>
          </w:p>
        </w:tc>
        <w:tc>
          <w:tcPr>
            <w:tcW w:w="737" w:type="dxa"/>
            <w:vAlign w:val="center"/>
          </w:tcPr>
          <w:p w:rsidR="00C36273" w:rsidRPr="00C36273" w:rsidRDefault="00C36273" w:rsidP="00C36273">
            <w:pPr>
              <w:spacing w:before="100" w:beforeAutospacing="1" w:after="100" w:afterAutospacing="1" w:line="280" w:lineRule="auto"/>
              <w:jc w:val="center"/>
              <w:rPr>
                <w:rFonts w:ascii="Arial" w:eastAsia="Tw Cen MT" w:hAnsi="Arial" w:cs="Arial"/>
                <w:sz w:val="14"/>
                <w:szCs w:val="14"/>
              </w:rPr>
            </w:pPr>
            <w:r w:rsidRPr="00C36273">
              <w:rPr>
                <w:rFonts w:ascii="Arial" w:eastAsia="Tw Cen MT" w:hAnsi="Arial" w:cs="Arial"/>
                <w:sz w:val="14"/>
                <w:szCs w:val="14"/>
              </w:rPr>
              <w:t>0.008</w:t>
            </w:r>
          </w:p>
        </w:tc>
        <w:tc>
          <w:tcPr>
            <w:tcW w:w="737" w:type="dxa"/>
            <w:vAlign w:val="center"/>
          </w:tcPr>
          <w:p w:rsidR="00C36273" w:rsidRPr="00C36273" w:rsidRDefault="00C36273" w:rsidP="00C36273">
            <w:pPr>
              <w:spacing w:before="100" w:beforeAutospacing="1" w:after="100" w:afterAutospacing="1" w:line="280" w:lineRule="auto"/>
              <w:jc w:val="center"/>
              <w:rPr>
                <w:rFonts w:ascii="Arial" w:eastAsia="Tw Cen MT" w:hAnsi="Arial" w:cs="Arial"/>
                <w:sz w:val="14"/>
                <w:szCs w:val="14"/>
              </w:rPr>
            </w:pPr>
            <w:r w:rsidRPr="00C36273">
              <w:rPr>
                <w:rFonts w:ascii="Arial" w:eastAsia="Tw Cen MT" w:hAnsi="Arial" w:cs="Arial"/>
                <w:sz w:val="14"/>
                <w:szCs w:val="14"/>
              </w:rPr>
              <w:t>0.002</w:t>
            </w:r>
          </w:p>
        </w:tc>
        <w:tc>
          <w:tcPr>
            <w:tcW w:w="737" w:type="dxa"/>
            <w:vAlign w:val="center"/>
          </w:tcPr>
          <w:p w:rsidR="00C36273" w:rsidRPr="00C36273" w:rsidRDefault="00C36273" w:rsidP="00C36273">
            <w:pPr>
              <w:spacing w:before="100" w:beforeAutospacing="1" w:after="100" w:afterAutospacing="1" w:line="280" w:lineRule="auto"/>
              <w:jc w:val="center"/>
              <w:rPr>
                <w:rFonts w:ascii="Arial" w:eastAsia="Tw Cen MT" w:hAnsi="Arial" w:cs="Arial"/>
                <w:sz w:val="14"/>
                <w:szCs w:val="14"/>
              </w:rPr>
            </w:pPr>
            <w:r w:rsidRPr="00C36273">
              <w:rPr>
                <w:rFonts w:ascii="Arial" w:eastAsia="Tw Cen MT" w:hAnsi="Arial" w:cs="Arial"/>
                <w:sz w:val="14"/>
                <w:szCs w:val="14"/>
              </w:rPr>
              <w:t>-0.012</w:t>
            </w:r>
          </w:p>
        </w:tc>
        <w:tc>
          <w:tcPr>
            <w:tcW w:w="737" w:type="dxa"/>
            <w:vAlign w:val="center"/>
          </w:tcPr>
          <w:p w:rsidR="00C36273" w:rsidRPr="00C36273" w:rsidRDefault="00C36273" w:rsidP="00C36273">
            <w:pPr>
              <w:spacing w:before="100" w:beforeAutospacing="1" w:after="100" w:afterAutospacing="1" w:line="280" w:lineRule="auto"/>
              <w:jc w:val="center"/>
              <w:rPr>
                <w:rFonts w:ascii="Arial" w:eastAsia="Tw Cen MT" w:hAnsi="Arial" w:cs="Arial"/>
                <w:sz w:val="14"/>
                <w:szCs w:val="14"/>
              </w:rPr>
            </w:pPr>
            <w:r w:rsidRPr="00C36273">
              <w:rPr>
                <w:rFonts w:ascii="Arial" w:eastAsia="Tw Cen MT" w:hAnsi="Arial" w:cs="Arial"/>
                <w:sz w:val="14"/>
                <w:szCs w:val="14"/>
              </w:rPr>
              <w:t>-961.4</w:t>
            </w:r>
          </w:p>
        </w:tc>
      </w:tr>
    </w:tbl>
    <w:p w:rsidR="00474203" w:rsidRDefault="00C36273" w:rsidP="00C36273">
      <w:pPr>
        <w:jc w:val="both"/>
        <w:rPr>
          <w:rFonts w:ascii="Times New Roman" w:hAnsi="Times New Roman" w:cs="Times New Roman"/>
          <w:sz w:val="20"/>
        </w:rPr>
      </w:pPr>
      <w:r w:rsidRPr="00C36273">
        <w:rPr>
          <w:rFonts w:ascii="Times New Roman" w:hAnsi="Times New Roman" w:cs="Times New Roman"/>
          <w:b/>
          <w:sz w:val="20"/>
        </w:rPr>
        <w:lastRenderedPageBreak/>
        <w:t>Conclusion:</w:t>
      </w:r>
      <w:r w:rsidRPr="00C36273">
        <w:rPr>
          <w:rFonts w:ascii="Times New Roman" w:hAnsi="Times New Roman" w:cs="Times New Roman"/>
          <w:sz w:val="20"/>
        </w:rPr>
        <w:t xml:space="preserve"> The results of this study indicated that </w:t>
      </w:r>
      <w:proofErr w:type="spellStart"/>
      <w:r w:rsidRPr="00C36273">
        <w:rPr>
          <w:rFonts w:ascii="Times New Roman" w:hAnsi="Times New Roman" w:cs="Times New Roman"/>
          <w:sz w:val="20"/>
        </w:rPr>
        <w:t>sodeifian’s</w:t>
      </w:r>
      <w:proofErr w:type="spellEnd"/>
      <w:r w:rsidRPr="00C36273">
        <w:rPr>
          <w:rFonts w:ascii="Times New Roman" w:hAnsi="Times New Roman" w:cs="Times New Roman"/>
          <w:sz w:val="20"/>
        </w:rPr>
        <w:t xml:space="preserve"> model has a good performance for correlating the solubility data which makes it appropriate for further applications in supercritical carbon dioxide-based technologies such as </w:t>
      </w:r>
      <w:r w:rsidRPr="00C36273">
        <w:rPr>
          <w:rFonts w:ascii="Times New Roman" w:hAnsi="Times New Roman" w:cs="Times New Roman"/>
          <w:sz w:val="20"/>
        </w:rPr>
        <w:t xml:space="preserve">Gas Anti-Solvent </w:t>
      </w:r>
      <w:r w:rsidRPr="00C36273">
        <w:rPr>
          <w:rFonts w:ascii="Times New Roman" w:hAnsi="Times New Roman" w:cs="Times New Roman"/>
          <w:sz w:val="20"/>
        </w:rPr>
        <w:t>(GAS).</w:t>
      </w:r>
    </w:p>
    <w:p w:rsidR="00C36273" w:rsidRPr="00C36273" w:rsidRDefault="00C36273" w:rsidP="00C36273">
      <w:pPr>
        <w:rPr>
          <w:rFonts w:ascii="Times New Roman" w:hAnsi="Times New Roman" w:cs="Times New Roman"/>
          <w:b/>
          <w:sz w:val="24"/>
        </w:rPr>
      </w:pPr>
      <w:r w:rsidRPr="00C36273">
        <w:rPr>
          <w:rFonts w:ascii="Times New Roman" w:hAnsi="Times New Roman" w:cs="Times New Roman"/>
          <w:b/>
          <w:sz w:val="24"/>
        </w:rPr>
        <w:t>Biography</w:t>
      </w:r>
    </w:p>
    <w:p w:rsidR="00C36273" w:rsidRDefault="00C36273" w:rsidP="00C36273">
      <w:pPr>
        <w:jc w:val="both"/>
        <w:rPr>
          <w:rFonts w:ascii="Times New Roman" w:hAnsi="Times New Roman" w:cs="Times New Roman"/>
          <w:sz w:val="20"/>
        </w:rPr>
      </w:pPr>
      <w:proofErr w:type="spellStart"/>
      <w:r w:rsidRPr="00C36273">
        <w:rPr>
          <w:rFonts w:ascii="Times New Roman" w:hAnsi="Times New Roman" w:cs="Times New Roman"/>
          <w:sz w:val="20"/>
        </w:rPr>
        <w:t>Gholamhossein</w:t>
      </w:r>
      <w:proofErr w:type="spellEnd"/>
      <w:r w:rsidRPr="00C36273">
        <w:rPr>
          <w:rFonts w:ascii="Times New Roman" w:hAnsi="Times New Roman" w:cs="Times New Roman"/>
          <w:sz w:val="20"/>
        </w:rPr>
        <w:t xml:space="preserve"> </w:t>
      </w:r>
      <w:proofErr w:type="spellStart"/>
      <w:r w:rsidRPr="00C36273">
        <w:rPr>
          <w:rFonts w:ascii="Times New Roman" w:hAnsi="Times New Roman" w:cs="Times New Roman"/>
          <w:sz w:val="20"/>
        </w:rPr>
        <w:t>Sodeifian</w:t>
      </w:r>
      <w:proofErr w:type="spellEnd"/>
      <w:r w:rsidRPr="00C36273">
        <w:rPr>
          <w:rFonts w:ascii="Times New Roman" w:hAnsi="Times New Roman" w:cs="Times New Roman"/>
          <w:sz w:val="20"/>
        </w:rPr>
        <w:t xml:space="preserve"> (1971) graduated in chemical engineering (M.S) from University of Tehran, in 1997</w:t>
      </w:r>
      <w:r>
        <w:rPr>
          <w:rFonts w:ascii="Times New Roman" w:hAnsi="Times New Roman" w:cs="Times New Roman"/>
          <w:sz w:val="20"/>
        </w:rPr>
        <w:t xml:space="preserve"> and received his doctorate (Ph</w:t>
      </w:r>
      <w:r w:rsidRPr="00C36273">
        <w:rPr>
          <w:rFonts w:ascii="Times New Roman" w:hAnsi="Times New Roman" w:cs="Times New Roman"/>
          <w:sz w:val="20"/>
        </w:rPr>
        <w:t xml:space="preserve">D), in polymer engineering from </w:t>
      </w:r>
      <w:proofErr w:type="spellStart"/>
      <w:r w:rsidRPr="00C36273">
        <w:rPr>
          <w:rFonts w:ascii="Times New Roman" w:hAnsi="Times New Roman" w:cs="Times New Roman"/>
          <w:sz w:val="20"/>
        </w:rPr>
        <w:t>Tarbiat</w:t>
      </w:r>
      <w:proofErr w:type="spellEnd"/>
      <w:r w:rsidRPr="00C36273">
        <w:rPr>
          <w:rFonts w:ascii="Times New Roman" w:hAnsi="Times New Roman" w:cs="Times New Roman"/>
          <w:sz w:val="20"/>
        </w:rPr>
        <w:t xml:space="preserve"> </w:t>
      </w:r>
      <w:proofErr w:type="spellStart"/>
      <w:r w:rsidRPr="00C36273">
        <w:rPr>
          <w:rFonts w:ascii="Times New Roman" w:hAnsi="Times New Roman" w:cs="Times New Roman"/>
          <w:sz w:val="20"/>
        </w:rPr>
        <w:t>Modares</w:t>
      </w:r>
      <w:proofErr w:type="spellEnd"/>
      <w:r w:rsidRPr="00C36273">
        <w:rPr>
          <w:rFonts w:ascii="Times New Roman" w:hAnsi="Times New Roman" w:cs="Times New Roman"/>
          <w:sz w:val="20"/>
        </w:rPr>
        <w:t xml:space="preserve"> University, Tehran, in 2002. </w:t>
      </w:r>
      <w:r>
        <w:rPr>
          <w:rFonts w:ascii="Times New Roman" w:hAnsi="Times New Roman" w:cs="Times New Roman"/>
          <w:sz w:val="20"/>
        </w:rPr>
        <w:t>He</w:t>
      </w:r>
      <w:r w:rsidRPr="00C36273">
        <w:rPr>
          <w:rFonts w:ascii="Times New Roman" w:hAnsi="Times New Roman" w:cs="Times New Roman"/>
          <w:sz w:val="20"/>
        </w:rPr>
        <w:t xml:space="preserve"> is currently academic member of Chemical Engineering Department of University of </w:t>
      </w:r>
      <w:proofErr w:type="spellStart"/>
      <w:r w:rsidRPr="00C36273">
        <w:rPr>
          <w:rFonts w:ascii="Times New Roman" w:hAnsi="Times New Roman" w:cs="Times New Roman"/>
          <w:sz w:val="20"/>
        </w:rPr>
        <w:t>Kashan</w:t>
      </w:r>
      <w:proofErr w:type="spellEnd"/>
      <w:r w:rsidRPr="00C36273">
        <w:rPr>
          <w:rFonts w:ascii="Times New Roman" w:hAnsi="Times New Roman" w:cs="Times New Roman"/>
          <w:sz w:val="20"/>
        </w:rPr>
        <w:t>. His research group focused on extraction of essential and seed oils, solubility measuremen</w:t>
      </w:r>
      <w:r>
        <w:rPr>
          <w:rFonts w:ascii="Times New Roman" w:hAnsi="Times New Roman" w:cs="Times New Roman"/>
          <w:sz w:val="20"/>
        </w:rPr>
        <w:t>t of solid medicines and micro</w:t>
      </w:r>
      <w:r w:rsidRPr="00C36273">
        <w:rPr>
          <w:rFonts w:ascii="Times New Roman" w:hAnsi="Times New Roman" w:cs="Times New Roman"/>
          <w:sz w:val="20"/>
        </w:rPr>
        <w:t xml:space="preserve"> and nanoparticle formation of pharmaceutical materials in supercritical carbon dioxide (SCCO</w:t>
      </w:r>
      <w:r w:rsidRPr="00C36273">
        <w:rPr>
          <w:rFonts w:ascii="Times New Roman" w:hAnsi="Times New Roman" w:cs="Times New Roman"/>
          <w:sz w:val="20"/>
          <w:vertAlign w:val="subscript"/>
        </w:rPr>
        <w:t>2</w:t>
      </w:r>
      <w:r w:rsidRPr="00C36273">
        <w:rPr>
          <w:rFonts w:ascii="Times New Roman" w:hAnsi="Times New Roman" w:cs="Times New Roman"/>
          <w:sz w:val="20"/>
        </w:rPr>
        <w:t xml:space="preserve">) </w:t>
      </w:r>
      <w:r w:rsidRPr="00C36273">
        <w:rPr>
          <w:rFonts w:ascii="Times New Roman" w:hAnsi="Times New Roman" w:cs="Times New Roman"/>
          <w:i/>
          <w:sz w:val="20"/>
        </w:rPr>
        <w:t>via</w:t>
      </w:r>
      <w:r w:rsidRPr="00C36273">
        <w:rPr>
          <w:rFonts w:ascii="Times New Roman" w:hAnsi="Times New Roman" w:cs="Times New Roman"/>
          <w:sz w:val="20"/>
        </w:rPr>
        <w:t xml:space="preserve"> various methods. He has also developed, for the first time in the world, a new and efficient technique for nanoparticle formation, i.e., Ultrasonic Assisted Rapid Expansion of Supercritical Solution into a Liquid Solvent (US-RESOLV). He has published more than 83 ISI scientific papers and several books. Furthermore, he has developed </w:t>
      </w:r>
      <w:proofErr w:type="spellStart"/>
      <w:r w:rsidRPr="00C36273">
        <w:rPr>
          <w:rFonts w:ascii="Times New Roman" w:hAnsi="Times New Roman" w:cs="Times New Roman"/>
          <w:sz w:val="20"/>
        </w:rPr>
        <w:t>Sodeifian’s</w:t>
      </w:r>
      <w:proofErr w:type="spellEnd"/>
      <w:r w:rsidRPr="00C36273">
        <w:rPr>
          <w:rFonts w:ascii="Times New Roman" w:hAnsi="Times New Roman" w:cs="Times New Roman"/>
          <w:sz w:val="20"/>
        </w:rPr>
        <w:t xml:space="preserve"> model for drugs solubility. </w:t>
      </w:r>
      <w:r>
        <w:rPr>
          <w:rFonts w:ascii="Times New Roman" w:hAnsi="Times New Roman" w:cs="Times New Roman"/>
          <w:sz w:val="20"/>
        </w:rPr>
        <w:t>HE</w:t>
      </w:r>
      <w:r w:rsidRPr="00C36273">
        <w:rPr>
          <w:rFonts w:ascii="Times New Roman" w:hAnsi="Times New Roman" w:cs="Times New Roman"/>
          <w:sz w:val="20"/>
        </w:rPr>
        <w:t xml:space="preserve"> has been assigned and included in the worlds’ top 2% of scientists list in 2021 and 2022.</w:t>
      </w:r>
    </w:p>
    <w:sectPr w:rsidR="00C362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273"/>
    <w:rsid w:val="0032354D"/>
    <w:rsid w:val="00434A22"/>
    <w:rsid w:val="00474203"/>
    <w:rsid w:val="00535872"/>
    <w:rsid w:val="00924B33"/>
    <w:rsid w:val="00C36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C36273"/>
    <w:pPr>
      <w:widowControl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C362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362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2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C36273"/>
    <w:pPr>
      <w:widowControl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C362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362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2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2023-03-03T12:11:00Z</dcterms:created>
  <dcterms:modified xsi:type="dcterms:W3CDTF">2023-03-03T12:22:00Z</dcterms:modified>
</cp:coreProperties>
</file>